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12bis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41</w:t>
      </w:r>
      <w:bookmarkStart w:id="8" w:name="_GoBack"/>
      <w:bookmarkEnd w:id="8"/>
      <w:r>
        <w:rPr>
          <w:rFonts w:hint="eastAsia" w:ascii="Arial" w:hAnsi="Arial" w:cs="Arial"/>
          <w:b/>
          <w:bCs/>
          <w:lang w:val="en-US" w:eastAsia="zh-CN"/>
        </w:rPr>
        <w:t>5008</w:t>
      </w:r>
    </w:p>
    <w:p>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Hefei, Anhui, China, 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October, 2024</w:t>
      </w:r>
    </w:p>
    <w:p>
      <w:pPr>
        <w:pStyle w:val="16"/>
        <w:tabs>
          <w:tab w:val="right" w:pos="9781"/>
          <w:tab w:val="right" w:pos="13323"/>
          <w:tab w:val="clear" w:pos="4153"/>
          <w:tab w:val="clear" w:pos="8306"/>
        </w:tabs>
        <w:spacing w:before="60" w:after="60"/>
        <w:outlineLvl w:val="9"/>
        <w:rPr>
          <w:b/>
          <w:sz w:val="22"/>
        </w:rPr>
      </w:pPr>
    </w:p>
    <w:p>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6.23.4.2</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rPr>
        <w:t>(NR_LPWUS-Core) Discussion on RRM impact of LP-WUR</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spacing w:before="60"/>
        <w:jc w:val="both"/>
        <w:rPr>
          <w:rFonts w:hint="default"/>
          <w:sz w:val="20"/>
          <w:szCs w:val="20"/>
          <w:lang w:val="en-US" w:eastAsia="zh-CN"/>
        </w:rPr>
      </w:pPr>
      <w:r>
        <w:rPr>
          <w:rFonts w:hint="eastAsia"/>
          <w:sz w:val="20"/>
          <w:szCs w:val="20"/>
          <w:lang w:val="en-US" w:eastAsia="zh-CN"/>
        </w:rPr>
        <w:t>In last meeting, RAN4 further discussed the valid RRM relaxation cases/states. The WF has been approved in [1]. In this contribution, we further analysis the RRM impact of LP-WUR based on the progress of RAN1 and RAN2, and provide our proposals.</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Discussion</w:t>
      </w:r>
      <w:bookmarkStart w:id="7" w:name="_Hlk70326378"/>
    </w:p>
    <w:p>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1-1-1: Cases/states to be considered for RRM relaxation and serving cell measurement offloading</w:t>
      </w:r>
    </w:p>
    <w:p>
      <w:pPr>
        <w:snapToGrid w:val="0"/>
        <w:spacing w:after="120"/>
        <w:ind w:left="576"/>
        <w:rPr>
          <w:i/>
          <w:iCs/>
          <w:color w:val="000000"/>
          <w:sz w:val="20"/>
          <w:szCs w:val="20"/>
          <w:lang w:val="en-US" w:eastAsia="zh-CN"/>
        </w:rPr>
      </w:pPr>
      <w:r>
        <w:rPr>
          <w:i/>
          <w:iCs/>
          <w:color w:val="000000"/>
          <w:sz w:val="20"/>
          <w:szCs w:val="20"/>
          <w:lang w:val="en-US" w:eastAsia="zh-CN"/>
        </w:rPr>
        <w:t>Agreement:</w:t>
      </w:r>
    </w:p>
    <w:p>
      <w:pPr>
        <w:pStyle w:val="75"/>
        <w:numPr>
          <w:ilvl w:val="0"/>
          <w:numId w:val="5"/>
        </w:numPr>
        <w:overflowPunct/>
        <w:autoSpaceDE/>
        <w:autoSpaceDN/>
        <w:adjustRightInd/>
        <w:snapToGrid w:val="0"/>
        <w:spacing w:after="120"/>
        <w:ind w:firstLineChars="0"/>
        <w:textAlignment w:val="auto"/>
        <w:rPr>
          <w:i/>
          <w:iCs/>
          <w:color w:val="000000"/>
          <w:sz w:val="20"/>
          <w:szCs w:val="20"/>
        </w:rPr>
      </w:pPr>
      <w:r>
        <w:rPr>
          <w:rFonts w:hint="eastAsia"/>
          <w:i/>
          <w:iCs/>
          <w:color w:val="000000"/>
          <w:sz w:val="20"/>
          <w:szCs w:val="20"/>
        </w:rPr>
        <w:t>S</w:t>
      </w:r>
      <w:r>
        <w:rPr>
          <w:i/>
          <w:iCs/>
          <w:color w:val="000000"/>
          <w:sz w:val="20"/>
          <w:szCs w:val="20"/>
        </w:rPr>
        <w:t>upport case #3</w:t>
      </w:r>
    </w:p>
    <w:p>
      <w:pPr>
        <w:pStyle w:val="75"/>
        <w:numPr>
          <w:ilvl w:val="1"/>
          <w:numId w:val="6"/>
        </w:numPr>
        <w:overflowPunct/>
        <w:autoSpaceDE/>
        <w:autoSpaceDN/>
        <w:adjustRightInd/>
        <w:snapToGrid w:val="0"/>
        <w:spacing w:after="120"/>
        <w:ind w:firstLineChars="0"/>
        <w:textAlignment w:val="auto"/>
        <w:rPr>
          <w:i/>
          <w:iCs/>
          <w:color w:val="000000"/>
          <w:sz w:val="20"/>
          <w:szCs w:val="20"/>
        </w:rPr>
      </w:pPr>
      <w:r>
        <w:rPr>
          <w:rFonts w:eastAsia="等线"/>
          <w:i/>
          <w:iCs/>
          <w:color w:val="000000"/>
          <w:sz w:val="20"/>
          <w:szCs w:val="20"/>
        </w:rPr>
        <w:t>For serving cell measurement, further discuss:</w:t>
      </w:r>
    </w:p>
    <w:p>
      <w:pPr>
        <w:pStyle w:val="75"/>
        <w:numPr>
          <w:ilvl w:val="2"/>
          <w:numId w:val="7"/>
        </w:numPr>
        <w:overflowPunct/>
        <w:autoSpaceDE/>
        <w:autoSpaceDN/>
        <w:adjustRightInd/>
        <w:snapToGrid w:val="0"/>
        <w:spacing w:after="120"/>
        <w:ind w:firstLineChars="0"/>
        <w:textAlignment w:val="auto"/>
        <w:rPr>
          <w:i/>
          <w:iCs/>
          <w:color w:val="000000"/>
          <w:sz w:val="20"/>
          <w:szCs w:val="20"/>
        </w:rPr>
      </w:pPr>
      <w:r>
        <w:rPr>
          <w:rFonts w:eastAsia="等线"/>
          <w:i/>
          <w:iCs/>
          <w:color w:val="000000"/>
          <w:sz w:val="20"/>
          <w:szCs w:val="20"/>
        </w:rPr>
        <w:t>Option 1: Further discuss whether to combine the measurements across the two radios, i.e., MR and WUR</w:t>
      </w:r>
    </w:p>
    <w:p>
      <w:pPr>
        <w:pStyle w:val="75"/>
        <w:numPr>
          <w:ilvl w:val="2"/>
          <w:numId w:val="7"/>
        </w:numPr>
        <w:overflowPunct/>
        <w:autoSpaceDE/>
        <w:autoSpaceDN/>
        <w:adjustRightInd/>
        <w:snapToGrid w:val="0"/>
        <w:spacing w:after="120"/>
        <w:ind w:firstLineChars="0"/>
        <w:textAlignment w:val="auto"/>
        <w:rPr>
          <w:i/>
          <w:iCs/>
          <w:color w:val="000000"/>
          <w:sz w:val="20"/>
          <w:szCs w:val="20"/>
        </w:rPr>
      </w:pPr>
      <w:r>
        <w:rPr>
          <w:rFonts w:eastAsia="等线"/>
          <w:i/>
          <w:iCs/>
          <w:color w:val="000000"/>
          <w:sz w:val="20"/>
          <w:szCs w:val="20"/>
        </w:rPr>
        <w:t>Option 2: From RAN4 requirement perspective, not consider combining the measurements across the two radios, i.e., MR and WUR</w:t>
      </w:r>
    </w:p>
    <w:p>
      <w:pPr>
        <w:pStyle w:val="75"/>
        <w:numPr>
          <w:ilvl w:val="2"/>
          <w:numId w:val="7"/>
        </w:numPr>
        <w:overflowPunct/>
        <w:autoSpaceDE/>
        <w:autoSpaceDN/>
        <w:adjustRightInd/>
        <w:snapToGrid w:val="0"/>
        <w:spacing w:after="120"/>
        <w:ind w:firstLineChars="0"/>
        <w:textAlignment w:val="auto"/>
        <w:rPr>
          <w:i/>
          <w:iCs/>
          <w:color w:val="000000"/>
          <w:sz w:val="20"/>
          <w:szCs w:val="20"/>
        </w:rPr>
      </w:pPr>
      <w:r>
        <w:rPr>
          <w:rFonts w:eastAsia="等线"/>
          <w:i/>
          <w:iCs/>
          <w:color w:val="000000"/>
          <w:sz w:val="20"/>
          <w:szCs w:val="20"/>
        </w:rPr>
        <w:t>Option 3: It is up to UE implementation whether to combine the measurement across the two radios.</w:t>
      </w:r>
    </w:p>
    <w:p>
      <w:pPr>
        <w:pStyle w:val="75"/>
        <w:numPr>
          <w:ilvl w:val="2"/>
          <w:numId w:val="7"/>
        </w:numPr>
        <w:overflowPunct/>
        <w:autoSpaceDE/>
        <w:autoSpaceDN/>
        <w:adjustRightInd/>
        <w:snapToGrid w:val="0"/>
        <w:spacing w:after="120"/>
        <w:ind w:firstLineChars="0"/>
        <w:textAlignment w:val="auto"/>
        <w:rPr>
          <w:i/>
          <w:iCs/>
          <w:color w:val="000000"/>
          <w:sz w:val="20"/>
          <w:szCs w:val="20"/>
        </w:rPr>
      </w:pPr>
      <w:r>
        <w:rPr>
          <w:rFonts w:eastAsia="等线"/>
          <w:i/>
          <w:iCs/>
          <w:color w:val="000000"/>
          <w:sz w:val="20"/>
          <w:szCs w:val="20"/>
        </w:rPr>
        <w:t xml:space="preserve">Other options are not precluded. </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843"/>
        <w:gridCol w:w="2126"/>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Pr>
          <w:p>
            <w:pPr>
              <w:snapToGrid w:val="0"/>
              <w:spacing w:after="120"/>
              <w:rPr>
                <w:rFonts w:eastAsia="Malgun Gothic"/>
                <w:i/>
                <w:iCs/>
                <w:color w:val="000000"/>
                <w:sz w:val="20"/>
                <w:szCs w:val="20"/>
                <w:lang w:val="en-US" w:eastAsia="ko-KR"/>
              </w:rPr>
            </w:pPr>
            <w:r>
              <w:rPr>
                <w:i/>
                <w:iCs/>
                <w:sz w:val="20"/>
                <w:szCs w:val="20"/>
              </w:rPr>
              <w:t>RRM measurement case index</w:t>
            </w:r>
          </w:p>
        </w:tc>
        <w:tc>
          <w:tcPr>
            <w:tcW w:w="1843" w:type="dxa"/>
          </w:tcPr>
          <w:p>
            <w:pPr>
              <w:snapToGrid w:val="0"/>
              <w:spacing w:after="120"/>
              <w:rPr>
                <w:rFonts w:eastAsia="Malgun Gothic"/>
                <w:i/>
                <w:iCs/>
                <w:color w:val="000000"/>
                <w:sz w:val="20"/>
                <w:szCs w:val="20"/>
                <w:lang w:val="en-US" w:eastAsia="ko-KR"/>
              </w:rPr>
            </w:pPr>
            <w:r>
              <w:rPr>
                <w:i/>
                <w:iCs/>
                <w:sz w:val="20"/>
                <w:szCs w:val="20"/>
              </w:rPr>
              <w:t>MR serving cell measurement</w:t>
            </w:r>
          </w:p>
        </w:tc>
        <w:tc>
          <w:tcPr>
            <w:tcW w:w="2126" w:type="dxa"/>
          </w:tcPr>
          <w:p>
            <w:pPr>
              <w:snapToGrid w:val="0"/>
              <w:spacing w:after="120"/>
              <w:rPr>
                <w:rFonts w:eastAsia="Malgun Gothic"/>
                <w:i/>
                <w:iCs/>
                <w:color w:val="000000"/>
                <w:sz w:val="20"/>
                <w:szCs w:val="20"/>
                <w:lang w:val="en-US" w:eastAsia="ko-KR"/>
              </w:rPr>
            </w:pPr>
            <w:r>
              <w:rPr>
                <w:i/>
                <w:iCs/>
                <w:sz w:val="20"/>
                <w:szCs w:val="20"/>
              </w:rPr>
              <w:t>MR neighboring cell measurement</w:t>
            </w:r>
          </w:p>
        </w:tc>
        <w:tc>
          <w:tcPr>
            <w:tcW w:w="1336" w:type="dxa"/>
          </w:tcPr>
          <w:p>
            <w:pPr>
              <w:snapToGrid w:val="0"/>
              <w:spacing w:after="120"/>
              <w:jc w:val="both"/>
              <w:rPr>
                <w:rFonts w:eastAsia="Malgun Gothic"/>
                <w:i/>
                <w:iCs/>
                <w:color w:val="000000"/>
                <w:sz w:val="20"/>
                <w:szCs w:val="20"/>
                <w:lang w:val="en-US" w:eastAsia="ko-KR"/>
              </w:rPr>
            </w:pPr>
            <w:r>
              <w:rPr>
                <w:i/>
                <w:iCs/>
                <w:sz w:val="20"/>
                <w:szCs w:val="20"/>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shd w:val="clear" w:color="auto" w:fill="auto"/>
          </w:tcPr>
          <w:p>
            <w:pPr>
              <w:snapToGrid w:val="0"/>
              <w:spacing w:after="120"/>
              <w:rPr>
                <w:rFonts w:eastAsia="Malgun Gothic"/>
                <w:i/>
                <w:iCs/>
                <w:color w:val="000000"/>
                <w:sz w:val="20"/>
                <w:szCs w:val="20"/>
                <w:lang w:val="en-US" w:eastAsia="ko-KR"/>
              </w:rPr>
            </w:pPr>
            <w:r>
              <w:rPr>
                <w:rFonts w:eastAsia="Malgun Gothic"/>
                <w:i/>
                <w:iCs/>
                <w:color w:val="000000"/>
                <w:sz w:val="20"/>
                <w:szCs w:val="20"/>
                <w:lang w:val="en-US" w:eastAsia="ko-KR"/>
              </w:rPr>
              <w:t>#3 Relaxed case b</w:t>
            </w:r>
          </w:p>
        </w:tc>
        <w:tc>
          <w:tcPr>
            <w:tcW w:w="1843" w:type="dxa"/>
            <w:shd w:val="clear" w:color="auto" w:fill="auto"/>
          </w:tcPr>
          <w:p>
            <w:pPr>
              <w:snapToGrid w:val="0"/>
              <w:spacing w:after="120"/>
              <w:rPr>
                <w:rFonts w:eastAsia="Malgun Gothic"/>
                <w:i/>
                <w:iCs/>
                <w:color w:val="000000"/>
                <w:sz w:val="20"/>
                <w:szCs w:val="20"/>
                <w:lang w:val="en-US" w:eastAsia="ko-KR"/>
              </w:rPr>
            </w:pPr>
            <w:r>
              <w:rPr>
                <w:rFonts w:eastAsia="Malgun Gothic"/>
                <w:i/>
                <w:iCs/>
                <w:color w:val="000000"/>
                <w:sz w:val="20"/>
                <w:szCs w:val="20"/>
                <w:lang w:val="en-US" w:eastAsia="ko-KR"/>
              </w:rPr>
              <w:t>On with relaxation measurement</w:t>
            </w:r>
          </w:p>
        </w:tc>
        <w:tc>
          <w:tcPr>
            <w:tcW w:w="2126" w:type="dxa"/>
            <w:shd w:val="clear" w:color="auto" w:fill="auto"/>
          </w:tcPr>
          <w:p>
            <w:pPr>
              <w:snapToGrid w:val="0"/>
              <w:spacing w:after="120"/>
              <w:rPr>
                <w:rFonts w:eastAsia="Malgun Gothic"/>
                <w:i/>
                <w:iCs/>
                <w:color w:val="000000"/>
                <w:sz w:val="20"/>
                <w:szCs w:val="20"/>
                <w:lang w:val="en-US" w:eastAsia="ko-KR"/>
              </w:rPr>
            </w:pPr>
            <w:r>
              <w:rPr>
                <w:rFonts w:eastAsia="Malgun Gothic"/>
                <w:i/>
                <w:iCs/>
                <w:color w:val="000000"/>
                <w:sz w:val="20"/>
                <w:szCs w:val="20"/>
                <w:lang w:val="en-US" w:eastAsia="ko-KR"/>
              </w:rPr>
              <w:t>On with relaxation measurement</w:t>
            </w:r>
          </w:p>
        </w:tc>
        <w:tc>
          <w:tcPr>
            <w:tcW w:w="1336" w:type="dxa"/>
            <w:shd w:val="clear" w:color="auto" w:fill="auto"/>
          </w:tcPr>
          <w:p>
            <w:pPr>
              <w:snapToGrid w:val="0"/>
              <w:spacing w:after="120"/>
              <w:jc w:val="both"/>
              <w:rPr>
                <w:rFonts w:eastAsia="Malgun Gothic"/>
                <w:i/>
                <w:iCs/>
                <w:color w:val="000000"/>
                <w:sz w:val="20"/>
                <w:szCs w:val="20"/>
                <w:lang w:val="en-US" w:eastAsia="ko-KR"/>
              </w:rPr>
            </w:pPr>
            <w:r>
              <w:rPr>
                <w:rFonts w:eastAsia="Malgun Gothic"/>
                <w:i/>
                <w:iCs/>
                <w:color w:val="000000"/>
                <w:sz w:val="20"/>
                <w:szCs w:val="20"/>
                <w:lang w:val="en-US" w:eastAsia="ko-KR"/>
              </w:rPr>
              <w:t>ON</w:t>
            </w:r>
          </w:p>
        </w:tc>
      </w:tr>
    </w:tbl>
    <w:p>
      <w:pPr>
        <w:pStyle w:val="75"/>
        <w:numPr>
          <w:ilvl w:val="1"/>
          <w:numId w:val="6"/>
        </w:numPr>
        <w:overflowPunct/>
        <w:autoSpaceDE/>
        <w:autoSpaceDN/>
        <w:adjustRightInd/>
        <w:snapToGrid w:val="0"/>
        <w:spacing w:after="120"/>
        <w:ind w:firstLineChars="0"/>
        <w:textAlignment w:val="auto"/>
        <w:rPr>
          <w:i/>
          <w:iCs/>
          <w:color w:val="000000"/>
          <w:sz w:val="20"/>
          <w:szCs w:val="20"/>
        </w:rPr>
      </w:pPr>
      <w:r>
        <w:rPr>
          <w:i/>
          <w:iCs/>
          <w:color w:val="000000"/>
          <w:sz w:val="20"/>
          <w:szCs w:val="20"/>
        </w:rPr>
        <w:t>Note: In RAN4 understanding, the discussion of the related measurement criteria (i.e., whether to use the legacy or new criteria) is out of RAN4 responsibility.</w:t>
      </w:r>
    </w:p>
    <w:p>
      <w:pPr>
        <w:spacing w:after="180"/>
        <w:rPr>
          <w:rFonts w:hint="eastAsia" w:eastAsia="宋体"/>
          <w:b/>
          <w:i/>
          <w:iCs/>
          <w:color w:val="000000"/>
          <w:sz w:val="20"/>
          <w:szCs w:val="20"/>
          <w:u w:val="single"/>
          <w:lang w:val="en-GB" w:eastAsia="zh-CN"/>
        </w:rPr>
      </w:pPr>
      <w:r>
        <w:rPr>
          <w:rFonts w:eastAsia="宋体"/>
          <w:b/>
          <w:i/>
          <w:iCs/>
          <w:color w:val="000000"/>
          <w:sz w:val="20"/>
          <w:szCs w:val="20"/>
          <w:u w:val="single"/>
          <w:lang w:val="en-GB" w:eastAsia="ko-KR"/>
        </w:rPr>
        <w:t>Issue 1-1-4-1: Entry/exit criteria evaluation when results from MR and/or LP-WUR are avaiable for WUS paging monitoring</w:t>
      </w:r>
      <w:r>
        <w:rPr>
          <w:rFonts w:hint="eastAsia" w:eastAsia="宋体"/>
          <w:b/>
          <w:i/>
          <w:iCs/>
          <w:color w:val="000000"/>
          <w:sz w:val="20"/>
          <w:szCs w:val="20"/>
          <w:u w:val="single"/>
          <w:lang w:val="en-GB" w:eastAsia="zh-CN"/>
        </w:rPr>
        <w:t>/LP-WUR measurement/MR RRM relaxation</w:t>
      </w:r>
    </w:p>
    <w:p>
      <w:pPr>
        <w:spacing w:after="180"/>
        <w:rPr>
          <w:rFonts w:eastAsia="宋体"/>
          <w:b/>
          <w:i/>
          <w:iCs/>
          <w:color w:val="000000"/>
          <w:sz w:val="20"/>
          <w:szCs w:val="20"/>
          <w:u w:val="single"/>
          <w:lang w:val="en-GB" w:eastAsia="zh-CN"/>
        </w:rPr>
      </w:pPr>
      <w:r>
        <w:rPr>
          <w:rFonts w:eastAsia="宋体"/>
          <w:b/>
          <w:i/>
          <w:iCs/>
          <w:color w:val="000000"/>
          <w:sz w:val="20"/>
          <w:szCs w:val="20"/>
          <w:u w:val="single"/>
          <w:lang w:val="en-GB" w:eastAsia="ko-KR"/>
        </w:rPr>
        <w:t>Issue 1-1-4-</w:t>
      </w:r>
      <w:r>
        <w:rPr>
          <w:rFonts w:hint="eastAsia" w:eastAsia="宋体"/>
          <w:b/>
          <w:i/>
          <w:iCs/>
          <w:color w:val="000000"/>
          <w:sz w:val="20"/>
          <w:szCs w:val="20"/>
          <w:u w:val="single"/>
          <w:lang w:val="en-GB" w:eastAsia="zh-CN"/>
        </w:rPr>
        <w:t>2</w:t>
      </w:r>
      <w:r>
        <w:rPr>
          <w:rFonts w:eastAsia="宋体"/>
          <w:b/>
          <w:i/>
          <w:iCs/>
          <w:color w:val="000000"/>
          <w:sz w:val="20"/>
          <w:szCs w:val="20"/>
          <w:u w:val="single"/>
          <w:lang w:val="en-GB" w:eastAsia="ko-KR"/>
        </w:rPr>
        <w:t xml:space="preserve">: </w:t>
      </w:r>
      <w:r>
        <w:rPr>
          <w:rFonts w:hint="eastAsia" w:eastAsia="宋体"/>
          <w:b/>
          <w:i/>
          <w:iCs/>
          <w:color w:val="000000"/>
          <w:sz w:val="20"/>
          <w:szCs w:val="20"/>
          <w:u w:val="single"/>
          <w:lang w:val="en-GB" w:eastAsia="zh-CN"/>
        </w:rPr>
        <w:t>R</w:t>
      </w:r>
      <w:r>
        <w:rPr>
          <w:rFonts w:eastAsia="宋体"/>
          <w:b/>
          <w:i/>
          <w:iCs/>
          <w:color w:val="000000"/>
          <w:sz w:val="20"/>
          <w:szCs w:val="20"/>
          <w:u w:val="single"/>
          <w:lang w:val="en-GB" w:eastAsia="zh-CN"/>
        </w:rPr>
        <w:t>eference</w:t>
      </w:r>
      <w:r>
        <w:rPr>
          <w:rFonts w:hint="eastAsia" w:eastAsia="宋体"/>
          <w:b/>
          <w:i/>
          <w:iCs/>
          <w:color w:val="000000"/>
          <w:sz w:val="20"/>
          <w:szCs w:val="20"/>
          <w:u w:val="single"/>
          <w:lang w:val="en-GB" w:eastAsia="zh-CN"/>
        </w:rPr>
        <w:t xml:space="preserve"> signals and measurement types to be used for </w:t>
      </w:r>
      <w:r>
        <w:rPr>
          <w:rFonts w:eastAsia="宋体"/>
          <w:b/>
          <w:i/>
          <w:iCs/>
          <w:color w:val="000000"/>
          <w:sz w:val="20"/>
          <w:szCs w:val="20"/>
          <w:u w:val="single"/>
          <w:lang w:val="en-GB" w:eastAsia="ko-KR"/>
        </w:rPr>
        <w:t>Entry/exit criteria evaluation for WUS paging monitoring</w:t>
      </w:r>
      <w:r>
        <w:rPr>
          <w:rFonts w:hint="eastAsia" w:eastAsia="宋体"/>
          <w:b/>
          <w:i/>
          <w:iCs/>
          <w:color w:val="000000"/>
          <w:sz w:val="20"/>
          <w:szCs w:val="20"/>
          <w:u w:val="single"/>
          <w:lang w:val="en-GB" w:eastAsia="zh-CN"/>
        </w:rPr>
        <w:t>/LP-WUR measurement/MR RRM relaxation</w:t>
      </w:r>
    </w:p>
    <w:p>
      <w:pPr>
        <w:spacing w:before="60"/>
        <w:jc w:val="both"/>
        <w:rPr>
          <w:rFonts w:hint="eastAsia"/>
          <w:sz w:val="20"/>
          <w:szCs w:val="20"/>
          <w:lang w:val="en-US" w:eastAsia="zh-CN"/>
        </w:rPr>
      </w:pPr>
      <w:r>
        <w:rPr>
          <w:rFonts w:hint="eastAsia"/>
          <w:sz w:val="20"/>
          <w:szCs w:val="20"/>
          <w:lang w:val="en-US" w:eastAsia="zh-CN"/>
        </w:rPr>
        <w:t>RAN2 achieved following agreement in last meeting:</w:t>
      </w:r>
    </w:p>
    <w:p>
      <w:pPr>
        <w:numPr>
          <w:ilvl w:val="0"/>
          <w:numId w:val="3"/>
        </w:numPr>
        <w:spacing w:before="60"/>
        <w:rPr>
          <w:rFonts w:hint="default" w:ascii="Times New Roman" w:hAnsi="Times New Roman" w:eastAsia="MS Mincho" w:cs="Times New Roman"/>
          <w:b w:val="0"/>
          <w:bCs/>
          <w:i/>
          <w:iCs/>
          <w:sz w:val="20"/>
          <w:szCs w:val="20"/>
          <w:lang w:val="en-GB" w:eastAsia="zh-CN" w:bidi="ar-SA"/>
        </w:rPr>
      </w:pPr>
      <w:r>
        <w:rPr>
          <w:rFonts w:hint="default" w:ascii="Times New Roman" w:hAnsi="Times New Roman" w:eastAsia="MS Mincho" w:cs="Times New Roman"/>
          <w:b w:val="0"/>
          <w:bCs/>
          <w:i/>
          <w:iCs/>
          <w:sz w:val="20"/>
          <w:szCs w:val="20"/>
          <w:lang w:val="en-GB" w:eastAsia="zh-CN" w:bidi="ar-SA"/>
        </w:rPr>
        <w:t>For serving cell measurement offloading (i.e., there is no serving cell measurement by MR):</w:t>
      </w:r>
    </w:p>
    <w:p>
      <w:pPr>
        <w:numPr>
          <w:ilvl w:val="2"/>
          <w:numId w:val="3"/>
        </w:numPr>
        <w:tabs>
          <w:tab w:val="left" w:pos="1619"/>
        </w:tabs>
        <w:spacing w:before="60"/>
        <w:ind w:left="2160" w:hanging="360"/>
        <w:rPr>
          <w:rFonts w:hint="default" w:ascii="Times New Roman" w:hAnsi="Times New Roman" w:eastAsia="宋体" w:cs="Times New Roman"/>
          <w:b w:val="0"/>
          <w:bCs/>
          <w:i/>
          <w:iCs/>
          <w:sz w:val="20"/>
          <w:szCs w:val="20"/>
          <w:lang w:val="en-GB" w:eastAsia="zh-CN" w:bidi="ar-SA"/>
        </w:rPr>
      </w:pPr>
      <w:r>
        <w:rPr>
          <w:rFonts w:hint="default" w:ascii="Times New Roman" w:hAnsi="Times New Roman" w:eastAsia="宋体" w:cs="Times New Roman"/>
          <w:b w:val="0"/>
          <w:bCs/>
          <w:i/>
          <w:iCs/>
          <w:sz w:val="20"/>
          <w:szCs w:val="20"/>
          <w:lang w:val="en-GB" w:eastAsia="zh-CN" w:bidi="ar-SA"/>
        </w:rPr>
        <w:t xml:space="preserve">The entry conditions for serving cell measurement offloading can be defined as at least MR greater than a certain RSRP threshold, and LR could also be considered. </w:t>
      </w:r>
    </w:p>
    <w:p>
      <w:pPr>
        <w:numPr>
          <w:ilvl w:val="2"/>
          <w:numId w:val="3"/>
        </w:numPr>
        <w:tabs>
          <w:tab w:val="left" w:pos="1619"/>
        </w:tabs>
        <w:spacing w:before="60"/>
        <w:ind w:left="2160" w:hanging="360"/>
        <w:rPr>
          <w:rFonts w:hint="default" w:ascii="Times New Roman" w:hAnsi="Times New Roman" w:eastAsia="宋体" w:cs="Times New Roman"/>
          <w:b w:val="0"/>
          <w:bCs/>
          <w:i/>
          <w:iCs/>
          <w:sz w:val="20"/>
          <w:szCs w:val="20"/>
          <w:lang w:val="en-GB" w:eastAsia="zh-CN" w:bidi="ar-SA"/>
        </w:rPr>
      </w:pPr>
      <w:r>
        <w:rPr>
          <w:rFonts w:hint="default" w:ascii="Times New Roman" w:hAnsi="Times New Roman" w:eastAsia="宋体" w:cs="Times New Roman"/>
          <w:b w:val="0"/>
          <w:bCs/>
          <w:i/>
          <w:iCs/>
          <w:sz w:val="20"/>
          <w:szCs w:val="20"/>
          <w:lang w:val="en-GB" w:eastAsia="zh-CN" w:bidi="ar-SA"/>
        </w:rPr>
        <w:t>The exit condition is based on the LR measurement results.</w:t>
      </w:r>
    </w:p>
    <w:p>
      <w:pPr>
        <w:spacing w:before="60"/>
        <w:jc w:val="both"/>
        <w:rPr>
          <w:rFonts w:hint="default"/>
          <w:sz w:val="20"/>
          <w:szCs w:val="20"/>
          <w:lang w:val="en-US" w:eastAsia="zh-CN"/>
        </w:rPr>
      </w:pPr>
      <w:r>
        <w:rPr>
          <w:rFonts w:hint="eastAsia"/>
          <w:sz w:val="20"/>
          <w:szCs w:val="20"/>
          <w:lang w:val="en-US" w:eastAsia="zh-CN"/>
        </w:rPr>
        <w:t>Based on our understanding of RAN2 entry/exit condition design, MR measurement threshold and/or LR LP-SS-based measurement threshold and/or LR SSB-based measurement threshold will be configured, UE compares the MR measurement result and/or LR LP-SS/SSB measurement result with the corresponding threshold, to further determine whether condition can be fulfilled or not. As for whether LR measurement result will be used to assist MR measurement result calibration, or vise versa, we think it is up to UE implementation.</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 xml:space="preserve">Proposal 1: When UE evaluates the entry/exit criteria, the </w:t>
      </w:r>
      <w:r>
        <w:rPr>
          <w:rFonts w:hint="default"/>
          <w:b/>
          <w:bCs/>
          <w:i/>
          <w:iCs/>
          <w:sz w:val="20"/>
          <w:szCs w:val="20"/>
          <w:lang w:val="en-US" w:eastAsia="zh-CN"/>
        </w:rPr>
        <w:t>‘</w:t>
      </w:r>
      <w:r>
        <w:rPr>
          <w:rFonts w:hint="eastAsia"/>
          <w:b/>
          <w:bCs/>
          <w:i/>
          <w:iCs/>
          <w:sz w:val="20"/>
          <w:szCs w:val="20"/>
          <w:lang w:val="en-US" w:eastAsia="zh-CN"/>
        </w:rPr>
        <w:t>reference signal and receiver type</w:t>
      </w:r>
      <w:r>
        <w:rPr>
          <w:rFonts w:hint="default"/>
          <w:b/>
          <w:bCs/>
          <w:i/>
          <w:iCs/>
          <w:sz w:val="20"/>
          <w:szCs w:val="20"/>
          <w:lang w:val="en-US" w:eastAsia="zh-CN"/>
        </w:rPr>
        <w:t>’</w:t>
      </w:r>
      <w:r>
        <w:rPr>
          <w:rFonts w:hint="eastAsia"/>
          <w:b/>
          <w:bCs/>
          <w:i/>
          <w:iCs/>
          <w:sz w:val="20"/>
          <w:szCs w:val="20"/>
          <w:lang w:val="en-US" w:eastAsia="zh-CN"/>
        </w:rPr>
        <w:t xml:space="preserve"> used by UE to generate the measurement results should be aligned with the </w:t>
      </w:r>
      <w:r>
        <w:rPr>
          <w:rFonts w:hint="default"/>
          <w:b/>
          <w:bCs/>
          <w:i/>
          <w:iCs/>
          <w:sz w:val="20"/>
          <w:szCs w:val="20"/>
          <w:lang w:val="en-US" w:eastAsia="zh-CN"/>
        </w:rPr>
        <w:t>‘</w:t>
      </w:r>
      <w:r>
        <w:rPr>
          <w:rFonts w:hint="eastAsia"/>
          <w:b/>
          <w:bCs/>
          <w:i/>
          <w:iCs/>
          <w:sz w:val="20"/>
          <w:szCs w:val="20"/>
          <w:lang w:val="en-US" w:eastAsia="zh-CN"/>
        </w:rPr>
        <w:t>reference signal and receiver type</w:t>
      </w:r>
      <w:r>
        <w:rPr>
          <w:rFonts w:hint="default"/>
          <w:b/>
          <w:bCs/>
          <w:i/>
          <w:iCs/>
          <w:sz w:val="20"/>
          <w:szCs w:val="20"/>
          <w:lang w:val="en-US" w:eastAsia="zh-CN"/>
        </w:rPr>
        <w:t>’</w:t>
      </w:r>
      <w:r>
        <w:rPr>
          <w:rFonts w:hint="eastAsia"/>
          <w:b/>
          <w:bCs/>
          <w:i/>
          <w:iCs/>
          <w:sz w:val="20"/>
          <w:szCs w:val="20"/>
          <w:lang w:val="en-US" w:eastAsia="zh-CN"/>
        </w:rPr>
        <w:t xml:space="preserve"> indicated by entry/exit criteria threshold.</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2: It is up to UE implementation whether LR measurement result will be used to assist MR measurement result calibration, or vise versa.</w:t>
      </w:r>
    </w:p>
    <w:p>
      <w:pPr>
        <w:spacing w:after="180"/>
        <w:rPr>
          <w:rFonts w:eastAsia="宋体"/>
          <w:b/>
          <w:color w:val="000000"/>
          <w:sz w:val="20"/>
          <w:szCs w:val="20"/>
          <w:u w:val="single"/>
          <w:lang w:val="en-GB" w:eastAsia="ko-KR"/>
        </w:rPr>
      </w:pPr>
    </w:p>
    <w:p>
      <w:pPr>
        <w:spacing w:after="180"/>
        <w:rPr>
          <w:rFonts w:eastAsia="宋体"/>
          <w:b/>
          <w:i/>
          <w:iCs/>
          <w:color w:val="000000"/>
          <w:sz w:val="20"/>
          <w:szCs w:val="20"/>
          <w:u w:val="single"/>
          <w:lang w:val="en-GB" w:eastAsia="ko-KR"/>
        </w:rPr>
      </w:pPr>
      <w:r>
        <w:rPr>
          <w:rFonts w:eastAsia="宋体"/>
          <w:b/>
          <w:i/>
          <w:iCs/>
          <w:color w:val="000000"/>
          <w:sz w:val="20"/>
          <w:szCs w:val="20"/>
          <w:u w:val="single"/>
          <w:lang w:val="en-GB" w:eastAsia="ko-KR"/>
        </w:rPr>
        <w:t>Issue 1-1-3: Core requirements to be specified for MR RRM relaxation</w:t>
      </w:r>
    </w:p>
    <w:p>
      <w:pPr>
        <w:spacing w:after="180"/>
        <w:rPr>
          <w:rFonts w:hint="eastAsia" w:eastAsia="宋体"/>
          <w:b/>
          <w:i/>
          <w:iCs/>
          <w:color w:val="000000"/>
          <w:sz w:val="20"/>
          <w:szCs w:val="20"/>
          <w:u w:val="single"/>
          <w:lang w:val="en-GB" w:eastAsia="ko-KR"/>
        </w:rPr>
      </w:pPr>
      <w:r>
        <w:rPr>
          <w:rFonts w:hint="eastAsia" w:eastAsia="宋体"/>
          <w:b/>
          <w:i/>
          <w:iCs/>
          <w:color w:val="000000"/>
          <w:sz w:val="20"/>
          <w:szCs w:val="20"/>
          <w:u w:val="single"/>
          <w:lang w:val="en-GB" w:eastAsia="ko-KR"/>
        </w:rPr>
        <w:t>Issue 1-3-1: MR RRM relaxation for serving cell/neighbour cell</w:t>
      </w:r>
    </w:p>
    <w:p>
      <w:pPr>
        <w:spacing w:after="180"/>
        <w:rPr>
          <w:rFonts w:eastAsia="宋体"/>
          <w:b/>
          <w:i/>
          <w:iCs/>
          <w:color w:val="000000"/>
          <w:sz w:val="20"/>
          <w:szCs w:val="20"/>
          <w:u w:val="single"/>
          <w:lang w:val="en-GB" w:eastAsia="ko-KR"/>
        </w:rPr>
      </w:pPr>
      <w:r>
        <w:rPr>
          <w:rFonts w:eastAsia="宋体"/>
          <w:b/>
          <w:i/>
          <w:iCs/>
          <w:color w:val="000000"/>
          <w:sz w:val="20"/>
          <w:szCs w:val="20"/>
          <w:u w:val="single"/>
          <w:lang w:val="en-GB" w:eastAsia="ko-KR"/>
        </w:rPr>
        <w:t>Issue 1-3-3: Accuracy for relaxed MR measurement</w:t>
      </w:r>
    </w:p>
    <w:p>
      <w:pPr>
        <w:spacing w:before="60"/>
        <w:jc w:val="both"/>
        <w:rPr>
          <w:rFonts w:hint="eastAsia"/>
          <w:sz w:val="20"/>
          <w:szCs w:val="20"/>
          <w:lang w:val="en-US" w:eastAsia="zh-CN"/>
        </w:rPr>
      </w:pPr>
      <w:r>
        <w:rPr>
          <w:rFonts w:hint="eastAsia"/>
          <w:sz w:val="20"/>
          <w:szCs w:val="20"/>
          <w:lang w:val="en-US" w:eastAsia="zh-CN"/>
        </w:rPr>
        <w:t xml:space="preserve">Since case#3 has been agreed, then MR based serving cell measurement relaxation requirement and neighbouring cell measurement relaxation requirement should be specified. </w:t>
      </w:r>
    </w:p>
    <w:p>
      <w:pPr>
        <w:spacing w:before="60"/>
        <w:jc w:val="both"/>
        <w:rPr>
          <w:rFonts w:hint="eastAsia"/>
          <w:sz w:val="20"/>
          <w:szCs w:val="20"/>
          <w:lang w:val="en-US" w:eastAsia="zh-CN"/>
        </w:rPr>
      </w:pPr>
      <w:r>
        <w:rPr>
          <w:rFonts w:hint="eastAsia"/>
          <w:sz w:val="20"/>
          <w:szCs w:val="20"/>
          <w:lang w:val="en-US" w:eastAsia="zh-CN"/>
        </w:rPr>
        <w:t>The first key point is the scaling factor, which should guarantee the mobility performance and power saving gain simultaneously. Based on the output observation from TR38.869 clause 8.1.1.5.2, if X&lt;8, then very limited power saving gain will be achieved (average: 4%, range: -18%~50%). Therefore, the MR should at least be relaxed 8 times. We propose to use 8 as the baseline.</w:t>
      </w:r>
    </w:p>
    <w:p>
      <w:pPr>
        <w:spacing w:before="60"/>
        <w:jc w:val="both"/>
        <w:rPr>
          <w:rFonts w:hint="eastAsia"/>
          <w:sz w:val="20"/>
          <w:szCs w:val="20"/>
          <w:lang w:val="en-US" w:eastAsia="zh-CN"/>
        </w:rPr>
      </w:pPr>
      <w:r>
        <w:rPr>
          <w:rFonts w:hint="eastAsia"/>
          <w:sz w:val="20"/>
          <w:szCs w:val="20"/>
          <w:lang w:val="en-US" w:eastAsia="zh-CN"/>
        </w:rPr>
        <w:t>The second key point is the measurement accuracy. The MR measurement result will be used to determine serving cell quality and neighbouring cell quality for cell selection and cell re-selection, and whether to trigger the measurement offloading, the accuracy is rather important among these procedure to guarantee UE mobility and camp on. The legacy accuracy should be reused.</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3: MR based serving cell measurement and neighbouring cell measurement requirement should be specified. The scaling factor should guarantee the mobility performance and power saving gain simultaneously.</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4: For the measurement based on both MR with RRM relaxation (X time relaxation) and LP-WUR, X =8 can be the starting point.</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5: The legacy accuracy for relaxed MR measurement should be reused for Case#3.</w:t>
      </w:r>
    </w:p>
    <w:p>
      <w:pPr>
        <w:spacing w:before="60"/>
        <w:jc w:val="both"/>
        <w:rPr>
          <w:rFonts w:hint="eastAsia"/>
          <w:b/>
          <w:bCs/>
          <w:i/>
          <w:iCs/>
          <w:sz w:val="20"/>
          <w:szCs w:val="20"/>
          <w:u w:val="single"/>
          <w:lang w:val="en-US" w:eastAsia="ko-KR"/>
        </w:rPr>
      </w:pPr>
    </w:p>
    <w:p>
      <w:pPr>
        <w:spacing w:after="180"/>
        <w:rPr>
          <w:rFonts w:eastAsia="宋体"/>
          <w:b/>
          <w:i/>
          <w:iCs/>
          <w:color w:val="000000"/>
          <w:sz w:val="20"/>
          <w:szCs w:val="20"/>
          <w:u w:val="single"/>
          <w:lang w:val="en-GB" w:eastAsia="ko-KR"/>
        </w:rPr>
      </w:pPr>
      <w:r>
        <w:rPr>
          <w:rFonts w:eastAsia="宋体"/>
          <w:b/>
          <w:i/>
          <w:iCs/>
          <w:color w:val="000000"/>
          <w:sz w:val="20"/>
          <w:szCs w:val="20"/>
          <w:u w:val="single"/>
          <w:lang w:val="en-GB" w:eastAsia="ko-KR"/>
        </w:rPr>
        <w:t>Issue 1-1-</w:t>
      </w:r>
      <w:r>
        <w:rPr>
          <w:rFonts w:hint="eastAsia" w:eastAsia="宋体"/>
          <w:b/>
          <w:i/>
          <w:iCs/>
          <w:color w:val="000000"/>
          <w:sz w:val="20"/>
          <w:szCs w:val="20"/>
          <w:u w:val="single"/>
          <w:lang w:val="en-GB" w:eastAsia="zh-CN"/>
        </w:rPr>
        <w:t>1</w:t>
      </w:r>
      <w:r>
        <w:rPr>
          <w:rFonts w:eastAsia="宋体"/>
          <w:b/>
          <w:i/>
          <w:iCs/>
          <w:color w:val="000000"/>
          <w:sz w:val="20"/>
          <w:szCs w:val="20"/>
          <w:u w:val="single"/>
          <w:lang w:val="en-GB" w:eastAsia="zh-CN"/>
        </w:rPr>
        <w:t>1</w:t>
      </w:r>
      <w:r>
        <w:rPr>
          <w:rFonts w:eastAsia="宋体"/>
          <w:b/>
          <w:i/>
          <w:iCs/>
          <w:color w:val="000000"/>
          <w:sz w:val="20"/>
          <w:szCs w:val="20"/>
          <w:u w:val="single"/>
          <w:lang w:val="en-GB" w:eastAsia="ko-KR"/>
        </w:rPr>
        <w:t xml:space="preserve">: </w:t>
      </w:r>
      <w:r>
        <w:rPr>
          <w:rFonts w:hint="eastAsia" w:eastAsia="宋体"/>
          <w:b/>
          <w:i/>
          <w:iCs/>
          <w:color w:val="000000"/>
          <w:sz w:val="20"/>
          <w:szCs w:val="20"/>
          <w:u w:val="single"/>
          <w:lang w:val="en-GB" w:eastAsia="zh-CN"/>
        </w:rPr>
        <w:t>Considerations on higher priority frequency layer</w:t>
      </w:r>
      <w:r>
        <w:rPr>
          <w:rFonts w:eastAsia="宋体"/>
          <w:b/>
          <w:i/>
          <w:iCs/>
          <w:color w:val="000000"/>
          <w:sz w:val="20"/>
          <w:szCs w:val="20"/>
          <w:u w:val="single"/>
          <w:lang w:val="en-GB" w:eastAsia="ko-KR"/>
        </w:rPr>
        <w:t xml:space="preserve"> </w:t>
      </w:r>
    </w:p>
    <w:p>
      <w:pPr>
        <w:spacing w:before="60"/>
        <w:jc w:val="both"/>
        <w:rPr>
          <w:rFonts w:hint="eastAsia"/>
          <w:sz w:val="20"/>
          <w:szCs w:val="20"/>
          <w:lang w:val="en-US" w:eastAsia="zh-CN"/>
        </w:rPr>
      </w:pPr>
      <w:r>
        <w:rPr>
          <w:rFonts w:hint="eastAsia"/>
          <w:sz w:val="20"/>
          <w:szCs w:val="20"/>
          <w:lang w:val="en-US" w:eastAsia="zh-CN"/>
        </w:rPr>
        <w:t>Currently, higher priority frequency layer can be configured by network, to carry the capacity. Whether exist high priority frequency layer is highly related with the operator</w:t>
      </w:r>
      <w:r>
        <w:rPr>
          <w:rFonts w:hint="default"/>
          <w:sz w:val="20"/>
          <w:szCs w:val="20"/>
          <w:lang w:val="en-US" w:eastAsia="zh-CN"/>
        </w:rPr>
        <w:t>’</w:t>
      </w:r>
      <w:r>
        <w:rPr>
          <w:rFonts w:hint="eastAsia"/>
          <w:sz w:val="20"/>
          <w:szCs w:val="20"/>
          <w:lang w:val="en-US" w:eastAsia="zh-CN"/>
        </w:rPr>
        <w:t>s deployment strategy considering different network scenario.</w:t>
      </w:r>
    </w:p>
    <w:p>
      <w:pPr>
        <w:spacing w:before="60"/>
        <w:jc w:val="both"/>
        <w:rPr>
          <w:rFonts w:hint="eastAsia"/>
          <w:sz w:val="20"/>
          <w:szCs w:val="20"/>
          <w:lang w:val="en-US" w:eastAsia="zh-CN"/>
        </w:rPr>
      </w:pPr>
      <w:r>
        <w:rPr>
          <w:rFonts w:hint="eastAsia"/>
          <w:sz w:val="20"/>
          <w:szCs w:val="20"/>
          <w:lang w:val="en-US" w:eastAsia="zh-CN"/>
        </w:rPr>
        <w:t>Since high priority frequency layer is always the inter-frequency layer, thus, it can only be monitored by MR. Then, when MR fully offloading to LR, i.e., only LR perform the measurement, how does UE perform the higher-layer frequency measurement should be further discussed.</w:t>
      </w:r>
    </w:p>
    <w:p>
      <w:pPr>
        <w:spacing w:before="60"/>
        <w:jc w:val="both"/>
        <w:rPr>
          <w:rFonts w:hint="eastAsia"/>
          <w:sz w:val="20"/>
          <w:szCs w:val="20"/>
          <w:lang w:val="en-US" w:eastAsia="zh-CN"/>
        </w:rPr>
      </w:pPr>
      <w:r>
        <w:rPr>
          <w:rFonts w:hint="eastAsia"/>
          <w:sz w:val="20"/>
          <w:szCs w:val="20"/>
          <w:lang w:val="en-US" w:eastAsia="zh-CN"/>
        </w:rPr>
        <w:t>In our perspective, as long as network configure such higher priority layer, UE should monitor it for possible cell re-selection. In current spec, UE is required to monitor per higher priority layer within 60s if no relaxation applied, and within 1h if relaxation applied. When fulling offloading case happens (Case#1), in order to guarantee UE power saving gain, we think the relaxed higher priority layer measurement requirement can be applied. When partial offloading case happens (Case#3), we are open to discuss which higher priority layer measurement requirement should be applied.</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6: As long as network configure such higher priority layer, UE should monitor it for possible cell-re selection</w:t>
      </w:r>
    </w:p>
    <w:p>
      <w:pPr>
        <w:numPr>
          <w:ilvl w:val="0"/>
          <w:numId w:val="8"/>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When fulling offloading case happens (Case#1), the relaxed higher priority layer measurement requirement can be applied, i.e., per higher priority layer within 1h</w:t>
      </w:r>
    </w:p>
    <w:p>
      <w:pPr>
        <w:numPr>
          <w:ilvl w:val="0"/>
          <w:numId w:val="8"/>
        </w:numPr>
        <w:spacing w:before="6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When partial offloading case happens (Case#3), open to further discuss which higher priority layer measurement requirement should be applied</w:t>
      </w:r>
    </w:p>
    <w:p>
      <w:pPr>
        <w:spacing w:before="60"/>
        <w:jc w:val="both"/>
        <w:rPr>
          <w:rFonts w:hint="eastAsia"/>
          <w:b/>
          <w:bCs/>
          <w:i/>
          <w:iCs/>
          <w:sz w:val="20"/>
          <w:szCs w:val="20"/>
          <w:u w:val="single"/>
          <w:lang w:val="en-US" w:eastAsia="ko-KR"/>
        </w:rPr>
      </w:pPr>
    </w:p>
    <w:p>
      <w:pPr>
        <w:spacing w:after="120"/>
        <w:rPr>
          <w:rFonts w:eastAsia="宋体"/>
          <w:b/>
          <w:color w:val="000000"/>
          <w:sz w:val="20"/>
          <w:szCs w:val="20"/>
          <w:u w:val="single"/>
          <w:lang w:val="en-GB" w:eastAsia="ko-KR"/>
        </w:rPr>
      </w:pPr>
      <w:r>
        <w:rPr>
          <w:rFonts w:eastAsia="宋体"/>
          <w:b/>
          <w:color w:val="000000"/>
          <w:sz w:val="20"/>
          <w:szCs w:val="20"/>
          <w:u w:val="single"/>
          <w:lang w:val="en-GB" w:eastAsia="ko-KR"/>
        </w:rPr>
        <w:t xml:space="preserve">Issue 1-2-2: Possible interruption related requirements for LP-WUR </w:t>
      </w:r>
    </w:p>
    <w:p>
      <w:pPr>
        <w:spacing w:before="60"/>
        <w:jc w:val="both"/>
        <w:rPr>
          <w:rFonts w:hint="eastAsia"/>
          <w:i w:val="0"/>
          <w:iCs w:val="0"/>
          <w:sz w:val="20"/>
          <w:szCs w:val="20"/>
          <w:lang w:val="en-US" w:eastAsia="zh-CN"/>
        </w:rPr>
      </w:pPr>
      <w:r>
        <w:rPr>
          <w:rFonts w:hint="eastAsia"/>
          <w:i w:val="0"/>
          <w:iCs w:val="0"/>
          <w:sz w:val="20"/>
          <w:szCs w:val="20"/>
          <w:lang w:val="en-US" w:eastAsia="zh-CN"/>
        </w:rPr>
        <w:t>RAN1 made the working assumption for the entry/exit conditions for LP-WUS monitoring, RAN4 also discussed the entry/exit conditions for LP-WUR measurement. All these criteria mention about UE switching between LP-WUR and MR. We shown the basic principle in the figure below.</w:t>
      </w:r>
    </w:p>
    <w:p>
      <w:pPr>
        <w:spacing w:before="60"/>
        <w:jc w:val="center"/>
        <w:rPr>
          <w:rFonts w:hint="default"/>
          <w:i w:val="0"/>
          <w:iCs w:val="0"/>
          <w:sz w:val="20"/>
          <w:szCs w:val="20"/>
          <w:lang w:val="en-US" w:eastAsia="zh-CN"/>
        </w:rPr>
      </w:pPr>
      <w:r>
        <w:drawing>
          <wp:inline distT="0" distB="0" distL="114300" distR="114300">
            <wp:extent cx="3319145" cy="2084705"/>
            <wp:effectExtent l="0" t="0" r="825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319145" cy="2084705"/>
                    </a:xfrm>
                    <a:prstGeom prst="rect">
                      <a:avLst/>
                    </a:prstGeom>
                    <a:noFill/>
                    <a:ln>
                      <a:noFill/>
                    </a:ln>
                  </pic:spPr>
                </pic:pic>
              </a:graphicData>
            </a:graphic>
          </wp:inline>
        </w:drawing>
      </w:r>
    </w:p>
    <w:p>
      <w:pPr>
        <w:spacing w:before="60"/>
        <w:jc w:val="both"/>
        <w:rPr>
          <w:rFonts w:hint="eastAsia"/>
          <w:i w:val="0"/>
          <w:iCs w:val="0"/>
          <w:sz w:val="20"/>
          <w:szCs w:val="20"/>
          <w:lang w:val="en-US" w:eastAsia="zh-CN"/>
        </w:rPr>
      </w:pPr>
      <w:r>
        <w:rPr>
          <w:rFonts w:hint="eastAsia"/>
          <w:i w:val="0"/>
          <w:iCs w:val="0"/>
          <w:sz w:val="20"/>
          <w:szCs w:val="20"/>
          <w:lang w:val="en-US" w:eastAsia="zh-CN"/>
        </w:rPr>
        <w:t>Due to MR will go into ultra-deep sleep mode in RRC IDLE/Inactive mode, and the LP-WUR may not keep the sync when LP-WUR is not required to perform the measurement and LP-WUS monitoring, in the following transition periods, the warm-up time may be needed, we think RAN4 is responsible to define interruption requirements:</w:t>
      </w:r>
    </w:p>
    <w:p>
      <w:pPr>
        <w:numPr>
          <w:ilvl w:val="0"/>
          <w:numId w:val="9"/>
        </w:numPr>
        <w:spacing w:before="60"/>
        <w:ind w:left="420" w:leftChars="0" w:hanging="420" w:firstLineChars="0"/>
        <w:jc w:val="both"/>
        <w:rPr>
          <w:rFonts w:hint="eastAsia"/>
          <w:i w:val="0"/>
          <w:iCs w:val="0"/>
          <w:sz w:val="20"/>
          <w:szCs w:val="20"/>
          <w:lang w:val="en-US" w:eastAsia="zh-CN"/>
        </w:rPr>
      </w:pPr>
      <w:r>
        <w:rPr>
          <w:rFonts w:hint="eastAsia"/>
          <w:i w:val="0"/>
          <w:iCs w:val="0"/>
          <w:sz w:val="20"/>
          <w:szCs w:val="20"/>
          <w:lang w:val="en-US" w:eastAsia="zh-CN"/>
        </w:rPr>
        <w:t>Between LP-WUS reception and MR to start paging monitoring</w:t>
      </w:r>
    </w:p>
    <w:p>
      <w:pPr>
        <w:numPr>
          <w:ilvl w:val="0"/>
          <w:numId w:val="9"/>
        </w:numPr>
        <w:spacing w:before="60"/>
        <w:ind w:left="420" w:leftChars="0" w:hanging="420" w:firstLineChars="0"/>
        <w:jc w:val="both"/>
        <w:rPr>
          <w:rFonts w:hint="eastAsia"/>
          <w:i w:val="0"/>
          <w:iCs w:val="0"/>
          <w:sz w:val="20"/>
          <w:szCs w:val="20"/>
          <w:lang w:val="en-US" w:eastAsia="zh-CN"/>
        </w:rPr>
      </w:pPr>
      <w:r>
        <w:rPr>
          <w:rFonts w:hint="eastAsia"/>
          <w:i w:val="0"/>
          <w:iCs w:val="0"/>
          <w:sz w:val="20"/>
          <w:szCs w:val="20"/>
          <w:lang w:val="en-US" w:eastAsia="zh-CN"/>
        </w:rPr>
        <w:t>Between LP-WUR measurement result fulfills exit criteria and MR to start measurement</w:t>
      </w:r>
    </w:p>
    <w:p>
      <w:pPr>
        <w:numPr>
          <w:ilvl w:val="0"/>
          <w:numId w:val="9"/>
        </w:numPr>
        <w:spacing w:before="60"/>
        <w:ind w:left="420" w:leftChars="0" w:hanging="420" w:firstLineChars="0"/>
        <w:jc w:val="both"/>
        <w:rPr>
          <w:rFonts w:hint="eastAsia"/>
          <w:i w:val="0"/>
          <w:iCs w:val="0"/>
          <w:sz w:val="20"/>
          <w:szCs w:val="20"/>
          <w:lang w:val="en-US" w:eastAsia="zh-CN"/>
        </w:rPr>
      </w:pPr>
      <w:r>
        <w:rPr>
          <w:rFonts w:hint="eastAsia"/>
          <w:i w:val="0"/>
          <w:iCs w:val="0"/>
          <w:sz w:val="20"/>
          <w:szCs w:val="20"/>
          <w:lang w:val="en-US" w:eastAsia="zh-CN"/>
        </w:rPr>
        <w:t>Between MR measurement result fulfills entry criteria and LP-WUR to start measurement</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7: Interruption requirements may need to be specified for the following transition periods:</w:t>
      </w:r>
    </w:p>
    <w:p>
      <w:pPr>
        <w:numPr>
          <w:ilvl w:val="0"/>
          <w:numId w:val="9"/>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Between LP-WUS reception and MR to start paging monitoring</w:t>
      </w:r>
    </w:p>
    <w:p>
      <w:pPr>
        <w:numPr>
          <w:ilvl w:val="0"/>
          <w:numId w:val="9"/>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Between LP-WUR measurement result fulfills exit criteria and MR to start measurement</w:t>
      </w:r>
    </w:p>
    <w:p>
      <w:pPr>
        <w:numPr>
          <w:ilvl w:val="0"/>
          <w:numId w:val="9"/>
        </w:numPr>
        <w:spacing w:before="60"/>
        <w:ind w:left="420" w:leftChars="0" w:hanging="420" w:firstLineChars="0"/>
        <w:jc w:val="both"/>
        <w:rPr>
          <w:rFonts w:hint="eastAsia"/>
          <w:b/>
          <w:bCs/>
          <w:i/>
          <w:iCs/>
          <w:sz w:val="20"/>
          <w:szCs w:val="20"/>
          <w:lang w:val="en-US" w:eastAsia="ko-KR"/>
        </w:rPr>
      </w:pPr>
      <w:r>
        <w:rPr>
          <w:rFonts w:hint="eastAsia"/>
          <w:b/>
          <w:bCs/>
          <w:i/>
          <w:iCs/>
          <w:sz w:val="20"/>
          <w:szCs w:val="20"/>
          <w:lang w:val="en-US" w:eastAsia="zh-CN"/>
        </w:rPr>
        <w:t>Between MR measurement result fulfills entry criteria and LP-WUR to start measurement</w:t>
      </w:r>
    </w:p>
    <w:p>
      <w:pPr>
        <w:numPr>
          <w:ilvl w:val="0"/>
          <w:numId w:val="0"/>
        </w:numPr>
        <w:spacing w:before="60"/>
        <w:jc w:val="both"/>
        <w:rPr>
          <w:rFonts w:hint="default"/>
          <w:sz w:val="21"/>
          <w:szCs w:val="21"/>
          <w:lang w:val="en-US" w:eastAsia="zh-CN"/>
        </w:rPr>
      </w:pPr>
    </w:p>
    <w:p>
      <w:pPr>
        <w:spacing w:after="120"/>
        <w:rPr>
          <w:rFonts w:hint="eastAsia" w:eastAsia="宋体"/>
          <w:b/>
          <w:color w:val="000000"/>
          <w:sz w:val="20"/>
          <w:szCs w:val="20"/>
          <w:u w:val="single"/>
          <w:lang w:val="en-US" w:eastAsia="zh-CN"/>
        </w:rPr>
      </w:pPr>
      <w:r>
        <w:rPr>
          <w:rFonts w:hint="eastAsia" w:eastAsia="宋体"/>
          <w:b/>
          <w:color w:val="000000"/>
          <w:sz w:val="20"/>
          <w:szCs w:val="20"/>
          <w:u w:val="single"/>
          <w:lang w:val="en-US" w:eastAsia="zh-CN"/>
        </w:rPr>
        <w:t>LS from RAN1 R1-2407559</w:t>
      </w:r>
    </w:p>
    <w:p>
      <w:pPr>
        <w:spacing w:before="60"/>
        <w:jc w:val="both"/>
        <w:rPr>
          <w:rFonts w:hint="eastAsia"/>
          <w:sz w:val="20"/>
          <w:szCs w:val="20"/>
          <w:vertAlign w:val="baseline"/>
          <w:lang w:val="en-US" w:eastAsia="zh-CN"/>
        </w:rPr>
      </w:pPr>
      <w:r>
        <w:rPr>
          <w:rFonts w:hint="eastAsia"/>
          <w:i w:val="0"/>
          <w:iCs w:val="0"/>
          <w:sz w:val="20"/>
          <w:szCs w:val="20"/>
          <w:lang w:val="en-US" w:eastAsia="zh-CN"/>
        </w:rPr>
        <w:t xml:space="preserve">In last meeting, RAN1 sent LS to RAN2/4 to check if there is any issue and </w:t>
      </w:r>
      <w:r>
        <w:rPr>
          <w:rFonts w:hint="default"/>
          <w:sz w:val="20"/>
          <w:szCs w:val="20"/>
          <w:vertAlign w:val="baseline"/>
          <w:lang w:val="en-US" w:eastAsia="zh-CN"/>
        </w:rPr>
        <w:t>specification support needed</w:t>
      </w:r>
      <w:r>
        <w:rPr>
          <w:rFonts w:hint="eastAsia"/>
          <w:sz w:val="20"/>
          <w:szCs w:val="20"/>
          <w:vertAlign w:val="baseline"/>
          <w:lang w:val="en-US" w:eastAsia="zh-CN"/>
        </w:rPr>
        <w:t xml:space="preserve"> when the LR can not supporting all the bands which supported by MR.</w:t>
      </w:r>
    </w:p>
    <w:tbl>
      <w:tblPr>
        <w:tblStyle w:val="21"/>
        <w:tblW w:w="0" w:type="auto"/>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5" w:type="dxa"/>
          </w:tcPr>
          <w:p>
            <w:pPr>
              <w:numPr>
                <w:ilvl w:val="0"/>
                <w:numId w:val="0"/>
              </w:numPr>
              <w:spacing w:before="60"/>
              <w:jc w:val="both"/>
              <w:rPr>
                <w:rFonts w:hint="default"/>
                <w:sz w:val="20"/>
                <w:szCs w:val="20"/>
                <w:vertAlign w:val="baseline"/>
                <w:lang w:val="en-US" w:eastAsia="zh-CN"/>
              </w:rPr>
            </w:pPr>
            <w:r>
              <w:rPr>
                <w:rFonts w:hint="default"/>
                <w:sz w:val="20"/>
                <w:szCs w:val="20"/>
                <w:vertAlign w:val="baseline"/>
                <w:lang w:val="en-US" w:eastAsia="zh-CN"/>
              </w:rPr>
              <w:t>In RAN1, the common understanding is that UE may not support LP-WUS reception on all the bands supported by the UE.</w:t>
            </w:r>
          </w:p>
          <w:p>
            <w:pPr>
              <w:numPr>
                <w:ilvl w:val="0"/>
                <w:numId w:val="0"/>
              </w:numPr>
              <w:spacing w:before="60"/>
              <w:jc w:val="both"/>
              <w:rPr>
                <w:rFonts w:hint="default"/>
                <w:sz w:val="20"/>
                <w:szCs w:val="20"/>
                <w:vertAlign w:val="baseline"/>
                <w:lang w:val="en-US" w:eastAsia="zh-CN"/>
              </w:rPr>
            </w:pPr>
            <w:r>
              <w:rPr>
                <w:rFonts w:hint="default"/>
                <w:sz w:val="20"/>
                <w:szCs w:val="20"/>
                <w:vertAlign w:val="baseline"/>
                <w:lang w:val="en-US" w:eastAsia="zh-CN"/>
              </w:rPr>
              <w:t>RAN1 respectfully asks RAN2 and RAN4 to check if there is any issue and specification support needed for IDLE/INACTIVE UEs.</w:t>
            </w:r>
          </w:p>
          <w:p>
            <w:pPr>
              <w:spacing w:after="120"/>
              <w:ind w:left="1985" w:hanging="1985"/>
              <w:rPr>
                <w:rFonts w:ascii="Arial" w:hAnsi="Arial" w:cs="Arial"/>
                <w:b/>
                <w:sz w:val="20"/>
                <w:szCs w:val="20"/>
              </w:rPr>
            </w:pPr>
            <w:r>
              <w:rPr>
                <w:rFonts w:ascii="Arial" w:hAnsi="Arial" w:cs="Arial"/>
                <w:b/>
                <w:sz w:val="20"/>
                <w:szCs w:val="20"/>
              </w:rPr>
              <w:t>To RAN2 and RAN4:</w:t>
            </w:r>
          </w:p>
          <w:p>
            <w:pPr>
              <w:spacing w:after="120"/>
              <w:ind w:left="993" w:hanging="993"/>
              <w:rPr>
                <w:rFonts w:hint="default"/>
                <w:sz w:val="21"/>
                <w:szCs w:val="21"/>
                <w:vertAlign w:val="baseline"/>
                <w:lang w:val="en-US" w:eastAsia="zh-CN"/>
              </w:rPr>
            </w:pPr>
            <w:r>
              <w:rPr>
                <w:rFonts w:ascii="Arial" w:hAnsi="Arial" w:cs="Arial"/>
                <w:b/>
                <w:sz w:val="20"/>
                <w:szCs w:val="20"/>
              </w:rPr>
              <w:t xml:space="preserve">ACTION: </w:t>
            </w:r>
            <w:r>
              <w:rPr>
                <w:rFonts w:ascii="Arial" w:hAnsi="Arial" w:cs="Arial"/>
                <w:b/>
                <w:sz w:val="20"/>
                <w:szCs w:val="20"/>
              </w:rPr>
              <w:tab/>
            </w:r>
            <w:r>
              <w:rPr>
                <w:rFonts w:ascii="Arial" w:hAnsi="Arial" w:cs="Arial"/>
                <w:sz w:val="20"/>
                <w:szCs w:val="20"/>
              </w:rPr>
              <w:t>RAN1 respectfully asks RAN2 and RAN4 to check if there is any issue and specification support needed for IDLE/INACTIVE UEs.</w:t>
            </w:r>
          </w:p>
        </w:tc>
      </w:tr>
    </w:tbl>
    <w:p>
      <w:pPr>
        <w:numPr>
          <w:ilvl w:val="0"/>
          <w:numId w:val="0"/>
        </w:numPr>
        <w:spacing w:before="60"/>
        <w:jc w:val="both"/>
        <w:rPr>
          <w:rFonts w:hint="eastAsia"/>
          <w:sz w:val="20"/>
          <w:szCs w:val="20"/>
          <w:vertAlign w:val="baseline"/>
          <w:lang w:val="en-US" w:eastAsia="zh-CN"/>
        </w:rPr>
      </w:pPr>
      <w:r>
        <w:rPr>
          <w:rFonts w:hint="eastAsia"/>
          <w:sz w:val="21"/>
          <w:szCs w:val="21"/>
          <w:lang w:val="en-US" w:eastAsia="zh-CN"/>
        </w:rPr>
        <w:t xml:space="preserve">Firstly, from LR RF capability, low-cost, and low power consumption point of view, we also think </w:t>
      </w:r>
      <w:r>
        <w:rPr>
          <w:rFonts w:hint="default"/>
          <w:sz w:val="20"/>
          <w:szCs w:val="20"/>
          <w:vertAlign w:val="baseline"/>
          <w:lang w:val="en-US" w:eastAsia="zh-CN"/>
        </w:rPr>
        <w:t xml:space="preserve">UE </w:t>
      </w:r>
      <w:r>
        <w:rPr>
          <w:rFonts w:hint="eastAsia"/>
          <w:sz w:val="20"/>
          <w:szCs w:val="20"/>
          <w:vertAlign w:val="baseline"/>
          <w:lang w:val="en-US" w:eastAsia="zh-CN"/>
        </w:rPr>
        <w:t xml:space="preserve">LR </w:t>
      </w:r>
      <w:r>
        <w:rPr>
          <w:rFonts w:hint="default"/>
          <w:sz w:val="20"/>
          <w:szCs w:val="20"/>
          <w:vertAlign w:val="baseline"/>
          <w:lang w:val="en-US" w:eastAsia="zh-CN"/>
        </w:rPr>
        <w:t>may not support LP-WUS reception</w:t>
      </w:r>
      <w:r>
        <w:rPr>
          <w:rFonts w:hint="eastAsia"/>
          <w:sz w:val="20"/>
          <w:szCs w:val="20"/>
          <w:vertAlign w:val="baseline"/>
          <w:lang w:val="en-US" w:eastAsia="zh-CN"/>
        </w:rPr>
        <w:t xml:space="preserve">/LP-SS measurement </w:t>
      </w:r>
      <w:r>
        <w:rPr>
          <w:rFonts w:hint="default"/>
          <w:sz w:val="20"/>
          <w:szCs w:val="20"/>
          <w:vertAlign w:val="baseline"/>
          <w:lang w:val="en-US" w:eastAsia="zh-CN"/>
        </w:rPr>
        <w:t>on all the bands supported by the UE</w:t>
      </w:r>
      <w:r>
        <w:rPr>
          <w:rFonts w:hint="eastAsia"/>
          <w:sz w:val="20"/>
          <w:szCs w:val="20"/>
          <w:vertAlign w:val="baseline"/>
          <w:lang w:val="en-US" w:eastAsia="zh-CN"/>
        </w:rPr>
        <w:t xml:space="preserve"> MR</w:t>
      </w:r>
      <w:r>
        <w:rPr>
          <w:rFonts w:hint="default"/>
          <w:sz w:val="20"/>
          <w:szCs w:val="20"/>
          <w:vertAlign w:val="baseline"/>
          <w:lang w:val="en-US" w:eastAsia="zh-CN"/>
        </w:rPr>
        <w:t>.</w:t>
      </w:r>
      <w:r>
        <w:rPr>
          <w:rFonts w:hint="eastAsia"/>
          <w:sz w:val="20"/>
          <w:szCs w:val="20"/>
          <w:vertAlign w:val="baseline"/>
          <w:lang w:val="en-US" w:eastAsia="zh-CN"/>
        </w:rPr>
        <w:t xml:space="preserve"> The common understanding from RAN1 is confirmed.</w:t>
      </w:r>
    </w:p>
    <w:p>
      <w:pPr>
        <w:numPr>
          <w:ilvl w:val="0"/>
          <w:numId w:val="0"/>
        </w:numPr>
        <w:spacing w:before="60"/>
        <w:jc w:val="both"/>
        <w:rPr>
          <w:rFonts w:hint="eastAsia"/>
          <w:sz w:val="20"/>
          <w:szCs w:val="20"/>
          <w:vertAlign w:val="baseline"/>
          <w:lang w:val="en-US" w:eastAsia="zh-CN"/>
        </w:rPr>
      </w:pPr>
      <w:r>
        <w:rPr>
          <w:rFonts w:hint="eastAsia"/>
          <w:sz w:val="20"/>
          <w:szCs w:val="20"/>
          <w:vertAlign w:val="baseline"/>
          <w:lang w:val="en-US" w:eastAsia="zh-CN"/>
        </w:rPr>
        <w:t>Then, if we follow such understanding, it means if MR camp on one serving cell, which operating band can not be supported by LR, the LR based LP-WUS recpetion/LP-SS measurement can not be enabled, since the current LP-WUS monitoring and LP-SS measurement offloading/fallback criteria is based on the assumption that LR monitoring the signal from serving cell.</w:t>
      </w:r>
    </w:p>
    <w:p>
      <w:pPr>
        <w:numPr>
          <w:ilvl w:val="0"/>
          <w:numId w:val="0"/>
        </w:numPr>
        <w:spacing w:before="60"/>
        <w:jc w:val="both"/>
        <w:rPr>
          <w:rFonts w:hint="eastAsia"/>
          <w:sz w:val="20"/>
          <w:szCs w:val="20"/>
          <w:vertAlign w:val="baseline"/>
          <w:lang w:val="en-US" w:eastAsia="zh-CN"/>
        </w:rPr>
      </w:pPr>
      <w:r>
        <w:rPr>
          <w:rFonts w:hint="eastAsia"/>
          <w:sz w:val="20"/>
          <w:szCs w:val="20"/>
          <w:vertAlign w:val="baseline"/>
          <w:lang w:val="en-US" w:eastAsia="zh-CN"/>
        </w:rPr>
        <w:t>Based on current procedure stated above, we didn</w:t>
      </w:r>
      <w:r>
        <w:rPr>
          <w:rFonts w:hint="default"/>
          <w:sz w:val="20"/>
          <w:szCs w:val="20"/>
          <w:vertAlign w:val="baseline"/>
          <w:lang w:val="en-US" w:eastAsia="zh-CN"/>
        </w:rPr>
        <w:t>’</w:t>
      </w:r>
      <w:r>
        <w:rPr>
          <w:rFonts w:hint="eastAsia"/>
          <w:sz w:val="20"/>
          <w:szCs w:val="20"/>
          <w:vertAlign w:val="baseline"/>
          <w:lang w:val="en-US" w:eastAsia="zh-CN"/>
        </w:rPr>
        <w:t>t identify any issue and specification support needed.</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8: For the case UE LR don</w:t>
      </w:r>
      <w:r>
        <w:rPr>
          <w:rFonts w:hint="default"/>
          <w:b/>
          <w:bCs/>
          <w:i/>
          <w:iCs/>
          <w:sz w:val="20"/>
          <w:szCs w:val="20"/>
          <w:lang w:val="en-US" w:eastAsia="zh-CN"/>
        </w:rPr>
        <w:t>’</w:t>
      </w:r>
      <w:r>
        <w:rPr>
          <w:rFonts w:hint="eastAsia"/>
          <w:b/>
          <w:bCs/>
          <w:i/>
          <w:iCs/>
          <w:sz w:val="20"/>
          <w:szCs w:val="20"/>
          <w:lang w:val="en-US" w:eastAsia="zh-CN"/>
        </w:rPr>
        <w:t>t support LP-WUS reception/ LP-SS measurement on all the bands supported by the UE MR, no issue and specification support needed are identified.</w:t>
      </w:r>
    </w:p>
    <w:bookmarkEnd w:id="7"/>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Based on the discussion above, the following</w:t>
      </w:r>
      <w:r>
        <w:rPr>
          <w:rFonts w:hint="eastAsia"/>
          <w:sz w:val="20"/>
          <w:szCs w:val="20"/>
          <w:lang w:val="en-US" w:eastAsia="zh-CN"/>
        </w:rPr>
        <w:t xml:space="preserve"> </w:t>
      </w:r>
      <w:r>
        <w:rPr>
          <w:sz w:val="20"/>
          <w:szCs w:val="20"/>
        </w:rPr>
        <w:t xml:space="preserve">proposals are concluded. </w:t>
      </w:r>
      <w:bookmarkEnd w:id="5"/>
      <w:bookmarkEnd w:id="6"/>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 xml:space="preserve">Proposal 1: When UE evaluates the entry/exit criteria, the </w:t>
      </w:r>
      <w:r>
        <w:rPr>
          <w:rFonts w:hint="default"/>
          <w:b/>
          <w:bCs/>
          <w:i/>
          <w:iCs/>
          <w:sz w:val="20"/>
          <w:szCs w:val="20"/>
          <w:lang w:val="en-US" w:eastAsia="zh-CN"/>
        </w:rPr>
        <w:t>‘</w:t>
      </w:r>
      <w:r>
        <w:rPr>
          <w:rFonts w:hint="eastAsia"/>
          <w:b/>
          <w:bCs/>
          <w:i/>
          <w:iCs/>
          <w:sz w:val="20"/>
          <w:szCs w:val="20"/>
          <w:lang w:val="en-US" w:eastAsia="zh-CN"/>
        </w:rPr>
        <w:t>reference signal and receiver type</w:t>
      </w:r>
      <w:r>
        <w:rPr>
          <w:rFonts w:hint="default"/>
          <w:b/>
          <w:bCs/>
          <w:i/>
          <w:iCs/>
          <w:sz w:val="20"/>
          <w:szCs w:val="20"/>
          <w:lang w:val="en-US" w:eastAsia="zh-CN"/>
        </w:rPr>
        <w:t>’</w:t>
      </w:r>
      <w:r>
        <w:rPr>
          <w:rFonts w:hint="eastAsia"/>
          <w:b/>
          <w:bCs/>
          <w:i/>
          <w:iCs/>
          <w:sz w:val="20"/>
          <w:szCs w:val="20"/>
          <w:lang w:val="en-US" w:eastAsia="zh-CN"/>
        </w:rPr>
        <w:t xml:space="preserve"> used by UE to generate the measurement results should be aligned with the </w:t>
      </w:r>
      <w:r>
        <w:rPr>
          <w:rFonts w:hint="default"/>
          <w:b/>
          <w:bCs/>
          <w:i/>
          <w:iCs/>
          <w:sz w:val="20"/>
          <w:szCs w:val="20"/>
          <w:lang w:val="en-US" w:eastAsia="zh-CN"/>
        </w:rPr>
        <w:t>‘</w:t>
      </w:r>
      <w:r>
        <w:rPr>
          <w:rFonts w:hint="eastAsia"/>
          <w:b/>
          <w:bCs/>
          <w:i/>
          <w:iCs/>
          <w:sz w:val="20"/>
          <w:szCs w:val="20"/>
          <w:lang w:val="en-US" w:eastAsia="zh-CN"/>
        </w:rPr>
        <w:t>reference signal and receiver type</w:t>
      </w:r>
      <w:r>
        <w:rPr>
          <w:rFonts w:hint="default"/>
          <w:b/>
          <w:bCs/>
          <w:i/>
          <w:iCs/>
          <w:sz w:val="20"/>
          <w:szCs w:val="20"/>
          <w:lang w:val="en-US" w:eastAsia="zh-CN"/>
        </w:rPr>
        <w:t>’</w:t>
      </w:r>
      <w:r>
        <w:rPr>
          <w:rFonts w:hint="eastAsia"/>
          <w:b/>
          <w:bCs/>
          <w:i/>
          <w:iCs/>
          <w:sz w:val="20"/>
          <w:szCs w:val="20"/>
          <w:lang w:val="en-US" w:eastAsia="zh-CN"/>
        </w:rPr>
        <w:t xml:space="preserve"> indicated by entry/exit criteria threshold.</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2: It is up to UE implementation whether LR measurement result will be used to assist MR measurement result calibration, or vise versa.</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3: MR based serving cell measurement and neighbouring cell measurement requirement should be specified. The scaling factor should guarantee the mobility performance and power saving gain simultaneously.</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4: For the measurement based on both MR with RRM relaxation (X time relaxation) and LP-WUR, X =8 can be the starting point.</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5: The legacy accuracy for relaxed MR measurement should be reused for Case#3.</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6: As long as network configure such higher priority layer, UE should monitor it for possible cell-re selection</w:t>
      </w:r>
    </w:p>
    <w:p>
      <w:pPr>
        <w:numPr>
          <w:ilvl w:val="0"/>
          <w:numId w:val="8"/>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When fulling offloading case happens (Case#1), the relaxed higher priority layer measurement requirement can be applied, i.e., per higher priority layer within 1h</w:t>
      </w:r>
    </w:p>
    <w:p>
      <w:pPr>
        <w:numPr>
          <w:ilvl w:val="0"/>
          <w:numId w:val="8"/>
        </w:numPr>
        <w:spacing w:before="6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When partial offloading case happens (Case#3), open to further discuss which higher priority layer measurement requirement should be applied</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7: Interruption requirements may need to be specified for the following transition periods:</w:t>
      </w:r>
    </w:p>
    <w:p>
      <w:pPr>
        <w:numPr>
          <w:ilvl w:val="0"/>
          <w:numId w:val="9"/>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Between LP-WUS reception and MR to start paging monitoring</w:t>
      </w:r>
    </w:p>
    <w:p>
      <w:pPr>
        <w:numPr>
          <w:ilvl w:val="0"/>
          <w:numId w:val="9"/>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Between LP-WUR measurement result fulfills exit criteria and MR to start measurement</w:t>
      </w:r>
    </w:p>
    <w:p>
      <w:pPr>
        <w:numPr>
          <w:ilvl w:val="0"/>
          <w:numId w:val="9"/>
        </w:numPr>
        <w:spacing w:before="60"/>
        <w:ind w:left="420" w:leftChars="0" w:hanging="420" w:firstLineChars="0"/>
        <w:jc w:val="both"/>
        <w:rPr>
          <w:rFonts w:hint="eastAsia"/>
          <w:b/>
          <w:bCs/>
          <w:i/>
          <w:iCs/>
          <w:sz w:val="20"/>
          <w:szCs w:val="20"/>
          <w:lang w:val="en-US" w:eastAsia="ko-KR"/>
        </w:rPr>
      </w:pPr>
      <w:r>
        <w:rPr>
          <w:rFonts w:hint="eastAsia"/>
          <w:b/>
          <w:bCs/>
          <w:i/>
          <w:iCs/>
          <w:sz w:val="20"/>
          <w:szCs w:val="20"/>
          <w:lang w:val="en-US" w:eastAsia="zh-CN"/>
        </w:rPr>
        <w:t>Between MR measurement result fulfills entry criteria and LP-WUR to start measurement</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8: For the case UE LR don</w:t>
      </w:r>
      <w:r>
        <w:rPr>
          <w:rFonts w:hint="default"/>
          <w:b/>
          <w:bCs/>
          <w:i/>
          <w:iCs/>
          <w:sz w:val="20"/>
          <w:szCs w:val="20"/>
          <w:lang w:val="en-US" w:eastAsia="zh-CN"/>
        </w:rPr>
        <w:t>’</w:t>
      </w:r>
      <w:r>
        <w:rPr>
          <w:rFonts w:hint="eastAsia"/>
          <w:b/>
          <w:bCs/>
          <w:i/>
          <w:iCs/>
          <w:sz w:val="20"/>
          <w:szCs w:val="20"/>
          <w:lang w:val="en-US" w:eastAsia="zh-CN"/>
        </w:rPr>
        <w:t>t support LP-WUS reception/ LP-SS measurement on all the bands supported by the UE MR, no issue and specification support needed are identified.</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10"/>
        </w:numPr>
        <w:rPr>
          <w:rFonts w:hint="default" w:ascii="Times New Roman" w:hAnsi="Times New Roman"/>
          <w:sz w:val="20"/>
          <w:lang w:val="en-US" w:eastAsia="zh-CN"/>
        </w:rPr>
      </w:pPr>
      <w:r>
        <w:rPr>
          <w:rFonts w:hint="eastAsia"/>
          <w:sz w:val="20"/>
          <w:szCs w:val="20"/>
          <w:lang w:val="en-GB"/>
        </w:rPr>
        <w:t>R4-2413899</w:t>
      </w:r>
      <w:r>
        <w:rPr>
          <w:rFonts w:hint="eastAsia"/>
          <w:sz w:val="20"/>
          <w:szCs w:val="20"/>
          <w:lang w:val="en-US" w:eastAsia="zh-CN"/>
        </w:rPr>
        <w:t>, WF for RRM core requirements for LP-WUSWUR, vivo</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CD2727"/>
    <w:multiLevelType w:val="singleLevel"/>
    <w:tmpl w:val="96CD2727"/>
    <w:lvl w:ilvl="0" w:tentative="0">
      <w:start w:val="1"/>
      <w:numFmt w:val="bullet"/>
      <w:lvlText w:val=""/>
      <w:lvlJc w:val="left"/>
      <w:pPr>
        <w:ind w:left="420" w:hanging="420"/>
      </w:pPr>
      <w:rPr>
        <w:rFonts w:hint="default" w:ascii="Wingdings" w:hAnsi="Wingdings"/>
      </w:rPr>
    </w:lvl>
  </w:abstractNum>
  <w:abstractNum w:abstractNumId="1">
    <w:nsid w:val="CC7F3C24"/>
    <w:multiLevelType w:val="singleLevel"/>
    <w:tmpl w:val="CC7F3C24"/>
    <w:lvl w:ilvl="0" w:tentative="0">
      <w:start w:val="1"/>
      <w:numFmt w:val="bullet"/>
      <w:lvlText w:val=""/>
      <w:lvlJc w:val="left"/>
      <w:pPr>
        <w:ind w:left="42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843675F"/>
    <w:multiLevelType w:val="multilevel"/>
    <w:tmpl w:val="4843675F"/>
    <w:lvl w:ilvl="0" w:tentative="0">
      <w:start w:val="1"/>
      <w:numFmt w:val="bullet"/>
      <w:lvlText w:val=""/>
      <w:lvlJc w:val="left"/>
      <w:pPr>
        <w:ind w:left="996" w:hanging="420"/>
      </w:pPr>
      <w:rPr>
        <w:rFonts w:hint="default" w:ascii="Wingdings" w:hAnsi="Wingdings"/>
      </w:rPr>
    </w:lvl>
    <w:lvl w:ilvl="1" w:tentative="0">
      <w:start w:val="0"/>
      <w:numFmt w:val="bullet"/>
      <w:lvlText w:val="◦"/>
      <w:lvlJc w:val="left"/>
      <w:pPr>
        <w:ind w:left="1416" w:hanging="420"/>
      </w:pPr>
      <w:rPr>
        <w:rFonts w:hint="default" w:ascii="Calibri" w:hAnsi="Calibri"/>
      </w:rPr>
    </w:lvl>
    <w:lvl w:ilvl="2" w:tentative="0">
      <w:start w:val="1"/>
      <w:numFmt w:val="bullet"/>
      <w:lvlText w:val=""/>
      <w:lvlJc w:val="left"/>
      <w:pPr>
        <w:ind w:left="1836" w:hanging="420"/>
      </w:pPr>
      <w:rPr>
        <w:rFonts w:hint="default" w:ascii="Wingdings" w:hAnsi="Wingdings"/>
      </w:rPr>
    </w:lvl>
    <w:lvl w:ilvl="3" w:tentative="0">
      <w:start w:val="1"/>
      <w:numFmt w:val="bullet"/>
      <w:lvlText w:val=""/>
      <w:lvlJc w:val="left"/>
      <w:pPr>
        <w:ind w:left="2256" w:hanging="420"/>
      </w:pPr>
      <w:rPr>
        <w:rFonts w:hint="default" w:ascii="Wingdings" w:hAnsi="Wingdings"/>
      </w:rPr>
    </w:lvl>
    <w:lvl w:ilvl="4" w:tentative="0">
      <w:start w:val="1"/>
      <w:numFmt w:val="bullet"/>
      <w:lvlText w:val=""/>
      <w:lvlJc w:val="left"/>
      <w:pPr>
        <w:ind w:left="2676" w:hanging="420"/>
      </w:pPr>
      <w:rPr>
        <w:rFonts w:hint="default" w:ascii="Wingdings" w:hAnsi="Wingdings"/>
      </w:rPr>
    </w:lvl>
    <w:lvl w:ilvl="5" w:tentative="0">
      <w:start w:val="1"/>
      <w:numFmt w:val="bullet"/>
      <w:lvlText w:val=""/>
      <w:lvlJc w:val="left"/>
      <w:pPr>
        <w:ind w:left="3096" w:hanging="420"/>
      </w:pPr>
      <w:rPr>
        <w:rFonts w:hint="default" w:ascii="Wingdings" w:hAnsi="Wingdings"/>
      </w:rPr>
    </w:lvl>
    <w:lvl w:ilvl="6" w:tentative="0">
      <w:start w:val="1"/>
      <w:numFmt w:val="bullet"/>
      <w:lvlText w:val=""/>
      <w:lvlJc w:val="left"/>
      <w:pPr>
        <w:ind w:left="3516" w:hanging="420"/>
      </w:pPr>
      <w:rPr>
        <w:rFonts w:hint="default" w:ascii="Wingdings" w:hAnsi="Wingdings"/>
      </w:rPr>
    </w:lvl>
    <w:lvl w:ilvl="7" w:tentative="0">
      <w:start w:val="1"/>
      <w:numFmt w:val="bullet"/>
      <w:lvlText w:val=""/>
      <w:lvlJc w:val="left"/>
      <w:pPr>
        <w:ind w:left="3936" w:hanging="420"/>
      </w:pPr>
      <w:rPr>
        <w:rFonts w:hint="default" w:ascii="Wingdings" w:hAnsi="Wingdings"/>
      </w:rPr>
    </w:lvl>
    <w:lvl w:ilvl="8" w:tentative="0">
      <w:start w:val="1"/>
      <w:numFmt w:val="bullet"/>
      <w:lvlText w:val=""/>
      <w:lvlJc w:val="left"/>
      <w:pPr>
        <w:ind w:left="4356" w:hanging="420"/>
      </w:pPr>
      <w:rPr>
        <w:rFonts w:hint="default" w:ascii="Wingdings" w:hAnsi="Wingdings"/>
      </w:rPr>
    </w:lvl>
  </w:abstractNum>
  <w:abstractNum w:abstractNumId="4">
    <w:nsid w:val="4D41099D"/>
    <w:multiLevelType w:val="multilevel"/>
    <w:tmpl w:val="4D41099D"/>
    <w:lvl w:ilvl="0" w:tentative="0">
      <w:start w:val="1"/>
      <w:numFmt w:val="bullet"/>
      <w:lvlText w:val=""/>
      <w:lvlJc w:val="left"/>
      <w:pPr>
        <w:ind w:left="996" w:hanging="420"/>
      </w:pPr>
      <w:rPr>
        <w:rFonts w:hint="default" w:ascii="Wingdings" w:hAnsi="Wingdings"/>
      </w:rPr>
    </w:lvl>
    <w:lvl w:ilvl="1" w:tentative="0">
      <w:start w:val="1"/>
      <w:numFmt w:val="bullet"/>
      <w:lvlText w:val=""/>
      <w:lvlJc w:val="left"/>
      <w:pPr>
        <w:ind w:left="1416" w:hanging="420"/>
      </w:pPr>
      <w:rPr>
        <w:rFonts w:hint="default" w:ascii="Wingdings" w:hAnsi="Wingdings"/>
      </w:rPr>
    </w:lvl>
    <w:lvl w:ilvl="2" w:tentative="0">
      <w:start w:val="1"/>
      <w:numFmt w:val="bullet"/>
      <w:lvlText w:val=""/>
      <w:lvlJc w:val="left"/>
      <w:pPr>
        <w:ind w:left="1836" w:hanging="420"/>
      </w:pPr>
      <w:rPr>
        <w:rFonts w:hint="default" w:ascii="Wingdings" w:hAnsi="Wingdings"/>
      </w:rPr>
    </w:lvl>
    <w:lvl w:ilvl="3" w:tentative="0">
      <w:start w:val="1"/>
      <w:numFmt w:val="bullet"/>
      <w:lvlText w:val=""/>
      <w:lvlJc w:val="left"/>
      <w:pPr>
        <w:ind w:left="2256" w:hanging="420"/>
      </w:pPr>
      <w:rPr>
        <w:rFonts w:hint="default" w:ascii="Wingdings" w:hAnsi="Wingdings"/>
      </w:rPr>
    </w:lvl>
    <w:lvl w:ilvl="4" w:tentative="0">
      <w:start w:val="1"/>
      <w:numFmt w:val="bullet"/>
      <w:lvlText w:val=""/>
      <w:lvlJc w:val="left"/>
      <w:pPr>
        <w:ind w:left="2676" w:hanging="420"/>
      </w:pPr>
      <w:rPr>
        <w:rFonts w:hint="default" w:ascii="Wingdings" w:hAnsi="Wingdings"/>
      </w:rPr>
    </w:lvl>
    <w:lvl w:ilvl="5" w:tentative="0">
      <w:start w:val="1"/>
      <w:numFmt w:val="bullet"/>
      <w:lvlText w:val=""/>
      <w:lvlJc w:val="left"/>
      <w:pPr>
        <w:ind w:left="3096" w:hanging="420"/>
      </w:pPr>
      <w:rPr>
        <w:rFonts w:hint="default" w:ascii="Wingdings" w:hAnsi="Wingdings"/>
      </w:rPr>
    </w:lvl>
    <w:lvl w:ilvl="6" w:tentative="0">
      <w:start w:val="1"/>
      <w:numFmt w:val="bullet"/>
      <w:lvlText w:val=""/>
      <w:lvlJc w:val="left"/>
      <w:pPr>
        <w:ind w:left="3516" w:hanging="420"/>
      </w:pPr>
      <w:rPr>
        <w:rFonts w:hint="default" w:ascii="Wingdings" w:hAnsi="Wingdings"/>
      </w:rPr>
    </w:lvl>
    <w:lvl w:ilvl="7" w:tentative="0">
      <w:start w:val="1"/>
      <w:numFmt w:val="bullet"/>
      <w:lvlText w:val=""/>
      <w:lvlJc w:val="left"/>
      <w:pPr>
        <w:ind w:left="3936" w:hanging="420"/>
      </w:pPr>
      <w:rPr>
        <w:rFonts w:hint="default" w:ascii="Wingdings" w:hAnsi="Wingdings"/>
      </w:rPr>
    </w:lvl>
    <w:lvl w:ilvl="8" w:tentative="0">
      <w:start w:val="1"/>
      <w:numFmt w:val="bullet"/>
      <w:lvlText w:val=""/>
      <w:lvlJc w:val="left"/>
      <w:pPr>
        <w:ind w:left="4356" w:hanging="420"/>
      </w:pPr>
      <w:rPr>
        <w:rFonts w:hint="default" w:ascii="Wingdings" w:hAnsi="Wingdings"/>
      </w:rPr>
    </w:lvl>
  </w:abstractNum>
  <w:abstractNum w:abstractNumId="5">
    <w:nsid w:val="659270C0"/>
    <w:multiLevelType w:val="multilevel"/>
    <w:tmpl w:val="659270C0"/>
    <w:lvl w:ilvl="0" w:tentative="0">
      <w:start w:val="1"/>
      <w:numFmt w:val="bullet"/>
      <w:lvlText w:val=""/>
      <w:lvlJc w:val="left"/>
      <w:pPr>
        <w:ind w:left="996" w:hanging="420"/>
      </w:pPr>
      <w:rPr>
        <w:rFonts w:hint="default" w:ascii="Wingdings" w:hAnsi="Wingdings"/>
      </w:rPr>
    </w:lvl>
    <w:lvl w:ilvl="1" w:tentative="0">
      <w:start w:val="0"/>
      <w:numFmt w:val="bullet"/>
      <w:lvlText w:val="◦"/>
      <w:lvlJc w:val="left"/>
      <w:pPr>
        <w:ind w:left="1416" w:hanging="420"/>
      </w:pPr>
      <w:rPr>
        <w:rFonts w:hint="default" w:ascii="Calibri" w:hAnsi="Calibri"/>
      </w:rPr>
    </w:lvl>
    <w:lvl w:ilvl="2" w:tentative="0">
      <w:start w:val="1"/>
      <w:numFmt w:val="bullet"/>
      <w:lvlText w:val="-"/>
      <w:lvlJc w:val="left"/>
      <w:pPr>
        <w:ind w:left="1836" w:hanging="420"/>
      </w:pPr>
      <w:rPr>
        <w:rFonts w:hint="default" w:ascii="Times New Roman" w:hAnsi="Times New Roman" w:eastAsia="Malgun Gothic" w:cs="Times New Roman"/>
        <w:sz w:val="24"/>
      </w:rPr>
    </w:lvl>
    <w:lvl w:ilvl="3" w:tentative="0">
      <w:start w:val="0"/>
      <w:numFmt w:val="bullet"/>
      <w:lvlText w:val="◦"/>
      <w:lvlJc w:val="left"/>
      <w:pPr>
        <w:ind w:left="2256" w:hanging="420"/>
      </w:pPr>
      <w:rPr>
        <w:rFonts w:hint="default" w:ascii="Calibri" w:hAnsi="Calibri"/>
      </w:rPr>
    </w:lvl>
    <w:lvl w:ilvl="4" w:tentative="0">
      <w:start w:val="1"/>
      <w:numFmt w:val="bullet"/>
      <w:lvlText w:val=""/>
      <w:lvlJc w:val="left"/>
      <w:pPr>
        <w:ind w:left="2676" w:hanging="420"/>
      </w:pPr>
      <w:rPr>
        <w:rFonts w:hint="default" w:ascii="Wingdings" w:hAnsi="Wingdings"/>
      </w:rPr>
    </w:lvl>
    <w:lvl w:ilvl="5" w:tentative="0">
      <w:start w:val="1"/>
      <w:numFmt w:val="bullet"/>
      <w:lvlText w:val=""/>
      <w:lvlJc w:val="left"/>
      <w:pPr>
        <w:ind w:left="3096" w:hanging="420"/>
      </w:pPr>
      <w:rPr>
        <w:rFonts w:hint="default" w:ascii="Wingdings" w:hAnsi="Wingdings"/>
      </w:rPr>
    </w:lvl>
    <w:lvl w:ilvl="6" w:tentative="0">
      <w:start w:val="1"/>
      <w:numFmt w:val="bullet"/>
      <w:lvlText w:val=""/>
      <w:lvlJc w:val="left"/>
      <w:pPr>
        <w:ind w:left="3516" w:hanging="420"/>
      </w:pPr>
      <w:rPr>
        <w:rFonts w:hint="default" w:ascii="Wingdings" w:hAnsi="Wingdings"/>
      </w:rPr>
    </w:lvl>
    <w:lvl w:ilvl="7" w:tentative="0">
      <w:start w:val="1"/>
      <w:numFmt w:val="bullet"/>
      <w:lvlText w:val=""/>
      <w:lvlJc w:val="left"/>
      <w:pPr>
        <w:ind w:left="3936" w:hanging="420"/>
      </w:pPr>
      <w:rPr>
        <w:rFonts w:hint="default" w:ascii="Wingdings" w:hAnsi="Wingdings"/>
      </w:rPr>
    </w:lvl>
    <w:lvl w:ilvl="8" w:tentative="0">
      <w:start w:val="1"/>
      <w:numFmt w:val="bullet"/>
      <w:lvlText w:val=""/>
      <w:lvlJc w:val="left"/>
      <w:pPr>
        <w:ind w:left="4356" w:hanging="420"/>
      </w:pPr>
      <w:rPr>
        <w:rFonts w:hint="default" w:ascii="Wingdings" w:hAnsi="Wingdings"/>
      </w:rPr>
    </w:lvl>
  </w:abstractNum>
  <w:abstractNum w:abstractNumId="6">
    <w:nsid w:val="65C85C9A"/>
    <w:multiLevelType w:val="singleLevel"/>
    <w:tmpl w:val="65C85C9A"/>
    <w:lvl w:ilvl="0" w:tentative="0">
      <w:start w:val="1"/>
      <w:numFmt w:val="decimal"/>
      <w:suff w:val="space"/>
      <w:lvlText w:val="[%1]"/>
      <w:lvlJc w:val="left"/>
    </w:lvl>
  </w:abstractNum>
  <w:abstractNum w:abstractNumId="7">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8">
    <w:nsid w:val="70146DC0"/>
    <w:multiLevelType w:val="multilevel"/>
    <w:tmpl w:val="70146DC0"/>
    <w:lvl w:ilvl="0" w:tentative="0">
      <w:start w:val="1"/>
      <w:numFmt w:val="bullet"/>
      <w:pStyle w:val="88"/>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7"/>
  </w:num>
  <w:num w:numId="3">
    <w:abstractNumId w:val="8"/>
  </w:num>
  <w:num w:numId="4">
    <w:abstractNumId w:val="2"/>
  </w:num>
  <w:num w:numId="5">
    <w:abstractNumId w:val="4"/>
  </w:num>
  <w:num w:numId="6">
    <w:abstractNumId w:val="3"/>
  </w:num>
  <w:num w:numId="7">
    <w:abstractNumId w:val="5"/>
  </w:num>
  <w:num w:numId="8">
    <w:abstractNumId w:val="1"/>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 w:val="017264F6"/>
    <w:rsid w:val="026553AD"/>
    <w:rsid w:val="0356125E"/>
    <w:rsid w:val="038D13C7"/>
    <w:rsid w:val="043A58AB"/>
    <w:rsid w:val="048A1C70"/>
    <w:rsid w:val="049C3AD5"/>
    <w:rsid w:val="04AF3E80"/>
    <w:rsid w:val="061F6C01"/>
    <w:rsid w:val="0620091D"/>
    <w:rsid w:val="062F62AF"/>
    <w:rsid w:val="06CA7932"/>
    <w:rsid w:val="070002A7"/>
    <w:rsid w:val="077C1411"/>
    <w:rsid w:val="081F0DE8"/>
    <w:rsid w:val="082A02ED"/>
    <w:rsid w:val="087C4EF9"/>
    <w:rsid w:val="099B54B4"/>
    <w:rsid w:val="09F303AF"/>
    <w:rsid w:val="0A3B0786"/>
    <w:rsid w:val="0A405571"/>
    <w:rsid w:val="0B123BC4"/>
    <w:rsid w:val="0B48567B"/>
    <w:rsid w:val="0C031150"/>
    <w:rsid w:val="0E0F2590"/>
    <w:rsid w:val="0E40223A"/>
    <w:rsid w:val="0EE74838"/>
    <w:rsid w:val="106F4ED8"/>
    <w:rsid w:val="11677F10"/>
    <w:rsid w:val="11BB3910"/>
    <w:rsid w:val="11E7300D"/>
    <w:rsid w:val="121769BF"/>
    <w:rsid w:val="12A40DAF"/>
    <w:rsid w:val="132C5366"/>
    <w:rsid w:val="1357122A"/>
    <w:rsid w:val="14095135"/>
    <w:rsid w:val="14F41582"/>
    <w:rsid w:val="15684BB0"/>
    <w:rsid w:val="16E01E1A"/>
    <w:rsid w:val="17173A55"/>
    <w:rsid w:val="1744345F"/>
    <w:rsid w:val="1769421D"/>
    <w:rsid w:val="179A47FF"/>
    <w:rsid w:val="180401FA"/>
    <w:rsid w:val="180A4855"/>
    <w:rsid w:val="195448E3"/>
    <w:rsid w:val="19A85AA6"/>
    <w:rsid w:val="19EA6BAE"/>
    <w:rsid w:val="1B0D39DF"/>
    <w:rsid w:val="1B581F69"/>
    <w:rsid w:val="1BF31B8E"/>
    <w:rsid w:val="1CA41DF6"/>
    <w:rsid w:val="1CFA3475"/>
    <w:rsid w:val="1E611F29"/>
    <w:rsid w:val="1EB26218"/>
    <w:rsid w:val="1F510D7B"/>
    <w:rsid w:val="1FE62FE2"/>
    <w:rsid w:val="20D22409"/>
    <w:rsid w:val="2286600C"/>
    <w:rsid w:val="23560518"/>
    <w:rsid w:val="23B07237"/>
    <w:rsid w:val="24231158"/>
    <w:rsid w:val="2477265B"/>
    <w:rsid w:val="25E672AF"/>
    <w:rsid w:val="25FA71A7"/>
    <w:rsid w:val="29B17D5C"/>
    <w:rsid w:val="29D96DE6"/>
    <w:rsid w:val="2A017181"/>
    <w:rsid w:val="2A096906"/>
    <w:rsid w:val="2A852E16"/>
    <w:rsid w:val="2B935F8B"/>
    <w:rsid w:val="2C7D36A6"/>
    <w:rsid w:val="2D275BA3"/>
    <w:rsid w:val="2D2937A4"/>
    <w:rsid w:val="2DA12880"/>
    <w:rsid w:val="2E3F5130"/>
    <w:rsid w:val="2EA436B8"/>
    <w:rsid w:val="2F435E75"/>
    <w:rsid w:val="316C4699"/>
    <w:rsid w:val="31D5300E"/>
    <w:rsid w:val="32452C35"/>
    <w:rsid w:val="32852BB9"/>
    <w:rsid w:val="335812CC"/>
    <w:rsid w:val="33625746"/>
    <w:rsid w:val="344C1AB1"/>
    <w:rsid w:val="34842458"/>
    <w:rsid w:val="348D1EBF"/>
    <w:rsid w:val="34AD46FA"/>
    <w:rsid w:val="34FF4619"/>
    <w:rsid w:val="355E7EBE"/>
    <w:rsid w:val="35D85D9C"/>
    <w:rsid w:val="3A947EA8"/>
    <w:rsid w:val="3A99673A"/>
    <w:rsid w:val="3D240DAA"/>
    <w:rsid w:val="3E0317B2"/>
    <w:rsid w:val="3E0456CC"/>
    <w:rsid w:val="3E5B3A27"/>
    <w:rsid w:val="3FA125F1"/>
    <w:rsid w:val="419926B2"/>
    <w:rsid w:val="41A86B47"/>
    <w:rsid w:val="41F22847"/>
    <w:rsid w:val="4272131F"/>
    <w:rsid w:val="427B5BFE"/>
    <w:rsid w:val="43B92166"/>
    <w:rsid w:val="483702F5"/>
    <w:rsid w:val="48DF3E68"/>
    <w:rsid w:val="496124C9"/>
    <w:rsid w:val="4981416D"/>
    <w:rsid w:val="49F70D7E"/>
    <w:rsid w:val="4EDF5C92"/>
    <w:rsid w:val="50062CBA"/>
    <w:rsid w:val="529918CE"/>
    <w:rsid w:val="543D4952"/>
    <w:rsid w:val="547728AF"/>
    <w:rsid w:val="549A20E2"/>
    <w:rsid w:val="560739EF"/>
    <w:rsid w:val="568E39EC"/>
    <w:rsid w:val="569B70A9"/>
    <w:rsid w:val="56CD7822"/>
    <w:rsid w:val="57116BC1"/>
    <w:rsid w:val="57B1507D"/>
    <w:rsid w:val="580435EA"/>
    <w:rsid w:val="580E6663"/>
    <w:rsid w:val="59483156"/>
    <w:rsid w:val="59EB7D63"/>
    <w:rsid w:val="59F32604"/>
    <w:rsid w:val="5AAC31E8"/>
    <w:rsid w:val="5BB77C14"/>
    <w:rsid w:val="5C376DA8"/>
    <w:rsid w:val="5D904821"/>
    <w:rsid w:val="5E123B5A"/>
    <w:rsid w:val="5E511501"/>
    <w:rsid w:val="5EC02F59"/>
    <w:rsid w:val="5EFE064F"/>
    <w:rsid w:val="60CF13EE"/>
    <w:rsid w:val="62084CF3"/>
    <w:rsid w:val="62AA085A"/>
    <w:rsid w:val="657B3C25"/>
    <w:rsid w:val="65E359B8"/>
    <w:rsid w:val="65E868EF"/>
    <w:rsid w:val="66C83DD1"/>
    <w:rsid w:val="679B7F3E"/>
    <w:rsid w:val="69067CBE"/>
    <w:rsid w:val="6A0A1799"/>
    <w:rsid w:val="6B2E4316"/>
    <w:rsid w:val="6BE55234"/>
    <w:rsid w:val="6DD63CD1"/>
    <w:rsid w:val="6FFC4D49"/>
    <w:rsid w:val="704D029C"/>
    <w:rsid w:val="70ED1816"/>
    <w:rsid w:val="72431F7D"/>
    <w:rsid w:val="72713655"/>
    <w:rsid w:val="729B686F"/>
    <w:rsid w:val="72A10532"/>
    <w:rsid w:val="731629DD"/>
    <w:rsid w:val="73703706"/>
    <w:rsid w:val="766671EE"/>
    <w:rsid w:val="767C72BC"/>
    <w:rsid w:val="771506CA"/>
    <w:rsid w:val="78A310D1"/>
    <w:rsid w:val="78B804CC"/>
    <w:rsid w:val="799727D8"/>
    <w:rsid w:val="7A79519C"/>
    <w:rsid w:val="7AD51A33"/>
    <w:rsid w:val="7ADD4010"/>
    <w:rsid w:val="7B311EAC"/>
    <w:rsid w:val="7BBA65DF"/>
    <w:rsid w:val="7C36041D"/>
    <w:rsid w:val="7C42596D"/>
    <w:rsid w:val="7CD1297B"/>
    <w:rsid w:val="7EC44CCD"/>
    <w:rsid w:val="7F0607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99"/>
    <w:rPr>
      <w:b/>
      <w:bCs/>
    </w:rPr>
  </w:style>
  <w:style w:type="character" w:customStyle="1" w:styleId="33">
    <w:name w:val="TAH Car"/>
    <w:link w:val="32"/>
    <w:qFormat/>
    <w:uiPriority w:val="99"/>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3"/>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paragraph" w:customStyle="1" w:styleId="87">
    <w:name w:val="cjk"/>
    <w:basedOn w:val="1"/>
    <w:qFormat/>
    <w:uiPriority w:val="0"/>
    <w:pPr>
      <w:spacing w:before="100" w:beforeAutospacing="1" w:after="181"/>
    </w:pPr>
    <w:rPr>
      <w:rFonts w:eastAsia="Times New Roman"/>
      <w:sz w:val="24"/>
      <w:szCs w:val="24"/>
      <w:lang w:val="en-US" w:eastAsia="zh-CN"/>
    </w:rPr>
  </w:style>
  <w:style w:type="paragraph" w:customStyle="1" w:styleId="88">
    <w:name w:val="Agreement"/>
    <w:basedOn w:val="1"/>
    <w:next w:val="64"/>
    <w:qFormat/>
    <w:uiPriority w:val="99"/>
    <w:pPr>
      <w:numPr>
        <w:ilvl w:val="0"/>
        <w:numId w:val="3"/>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6</Pages>
  <Words>1804</Words>
  <Characters>10287</Characters>
  <Lines>85</Lines>
  <Paragraphs>24</Paragraphs>
  <TotalTime>1</TotalTime>
  <ScaleCrop>false</ScaleCrop>
  <LinksUpToDate>false</LinksUpToDate>
  <CharactersWithSpaces>12067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2024-09-30T14:46:18Z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F61112A40FB1461AA46DAAB2A278F284</vt:lpwstr>
  </property>
</Properties>
</file>